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9EEB8">
      <w:pPr>
        <w:jc w:val="both"/>
        <w:rPr>
          <w:rFonts w:hint="default" w:ascii="黑体" w:hAnsi="Times New Roman" w:eastAsia="黑体" w:cs="黑体"/>
          <w:b/>
          <w:color w:val="auto"/>
          <w:sz w:val="21"/>
          <w:szCs w:val="21"/>
          <w:lang w:val="en-US" w:eastAsia="zh-CN"/>
        </w:rPr>
      </w:pPr>
    </w:p>
    <w:p w14:paraId="446DD6C3">
      <w:pPr>
        <w:jc w:val="both"/>
        <w:rPr>
          <w:rFonts w:hint="default" w:ascii="黑体" w:hAnsi="Times New Roman" w:eastAsia="黑体" w:cs="黑体"/>
          <w:b/>
          <w:color w:val="auto"/>
          <w:sz w:val="36"/>
          <w:szCs w:val="36"/>
          <w:lang w:val="en-US" w:eastAsia="zh-CN"/>
        </w:rPr>
      </w:pPr>
    </w:p>
    <w:p w14:paraId="6A91B266">
      <w:pPr>
        <w:pStyle w:val="3"/>
        <w:rPr>
          <w:rFonts w:hint="eastAsia"/>
          <w:color w:val="auto"/>
          <w:sz w:val="18"/>
          <w:szCs w:val="18"/>
          <w:lang w:val="en-US" w:eastAsia="zh-CN"/>
        </w:rPr>
      </w:pPr>
    </w:p>
    <w:p w14:paraId="18C091E0">
      <w:pPr>
        <w:pStyle w:val="3"/>
        <w:rPr>
          <w:rFonts w:hint="eastAsia"/>
          <w:color w:val="auto"/>
          <w:sz w:val="18"/>
          <w:szCs w:val="18"/>
          <w:lang w:val="en-US" w:eastAsia="zh-CN"/>
        </w:rPr>
      </w:pPr>
    </w:p>
    <w:p w14:paraId="4FEFD8B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color w:val="auto"/>
          <w:sz w:val="52"/>
          <w:szCs w:val="52"/>
          <w:lang w:eastAsia="zh-CN"/>
        </w:rPr>
      </w:pPr>
      <w:r>
        <w:rPr>
          <w:rFonts w:hint="eastAsia" w:ascii="黑体" w:hAnsi="黑体" w:eastAsia="黑体" w:cs="黑体"/>
          <w:b/>
          <w:bCs w:val="0"/>
          <w:color w:val="auto"/>
          <w:sz w:val="44"/>
          <w:szCs w:val="44"/>
          <w:lang w:val="en-US" w:eastAsia="zh-CN"/>
        </w:rPr>
        <w:t xml:space="preserve"> </w:t>
      </w:r>
      <w:r>
        <w:rPr>
          <w:rFonts w:hint="eastAsia" w:ascii="黑体" w:hAnsi="黑体" w:eastAsia="黑体" w:cs="黑体"/>
          <w:b/>
          <w:bCs w:val="0"/>
          <w:color w:val="auto"/>
          <w:sz w:val="52"/>
          <w:szCs w:val="52"/>
          <w:lang w:val="en-US" w:eastAsia="zh-CN"/>
        </w:rPr>
        <w:t>2024年扶风县路灯电力线路红绿灯等设施运行维护项目</w:t>
      </w:r>
      <w:r>
        <w:rPr>
          <w:rFonts w:hint="eastAsia" w:ascii="黑体" w:hAnsi="黑体" w:eastAsia="黑体" w:cs="黑体"/>
          <w:b/>
          <w:bCs w:val="0"/>
          <w:color w:val="auto"/>
          <w:sz w:val="52"/>
          <w:szCs w:val="52"/>
          <w:lang w:eastAsia="zh-CN"/>
        </w:rPr>
        <w:t>绩效评价报告</w:t>
      </w:r>
    </w:p>
    <w:p w14:paraId="2DABBE9A">
      <w:pPr>
        <w:pStyle w:val="2"/>
        <w:rPr>
          <w:rFonts w:hint="eastAsia"/>
          <w:color w:val="auto"/>
        </w:rPr>
      </w:pPr>
    </w:p>
    <w:p w14:paraId="4501525C">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r>
        <w:rPr>
          <w:rFonts w:hint="eastAsia" w:ascii="华文宋体" w:hAnsi="华文宋体"/>
          <w:color w:val="auto"/>
          <w:sz w:val="31"/>
          <w:highlight w:val="none"/>
          <w:shd w:val="clear" w:color="auto" w:fill="FFFFFF"/>
          <w:lang w:val="en-US" w:eastAsia="zh-CN"/>
        </w:rPr>
        <w:t xml:space="preserve"> </w:t>
      </w:r>
    </w:p>
    <w:p w14:paraId="71EDC0A2">
      <w:pPr>
        <w:pStyle w:val="2"/>
        <w:rPr>
          <w:rFonts w:hint="default"/>
          <w:color w:val="auto"/>
          <w:highlight w:val="none"/>
          <w:lang w:val="en-US" w:eastAsia="zh-CN"/>
        </w:rPr>
      </w:pPr>
    </w:p>
    <w:p w14:paraId="1B96A3F9">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54B12848">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2A0B4C59">
      <w:pPr>
        <w:spacing w:line="360" w:lineRule="auto"/>
        <w:ind w:firstLine="1285" w:firstLineChars="400"/>
        <w:rPr>
          <w:rFonts w:hint="eastAsia" w:ascii="宋体" w:hAnsi="宋体" w:cs="宋体"/>
          <w:b/>
          <w:bCs/>
          <w:color w:val="auto"/>
          <w:sz w:val="32"/>
          <w:szCs w:val="32"/>
          <w:highlight w:val="none"/>
        </w:rPr>
      </w:pPr>
    </w:p>
    <w:p w14:paraId="6341F518">
      <w:pPr>
        <w:pStyle w:val="2"/>
        <w:rPr>
          <w:rFonts w:hint="eastAsia" w:ascii="宋体" w:hAnsi="宋体" w:cs="宋体"/>
          <w:b/>
          <w:bCs/>
          <w:color w:val="auto"/>
          <w:sz w:val="32"/>
          <w:szCs w:val="32"/>
          <w:highlight w:val="none"/>
        </w:rPr>
      </w:pPr>
    </w:p>
    <w:p w14:paraId="11551D79">
      <w:pPr>
        <w:pStyle w:val="3"/>
        <w:rPr>
          <w:rFonts w:hint="eastAsia" w:ascii="宋体" w:hAnsi="宋体" w:cs="宋体"/>
          <w:b/>
          <w:bCs/>
          <w:color w:val="auto"/>
          <w:sz w:val="32"/>
          <w:szCs w:val="32"/>
          <w:highlight w:val="none"/>
        </w:rPr>
      </w:pPr>
    </w:p>
    <w:p w14:paraId="11B3ED6F">
      <w:pPr>
        <w:pStyle w:val="3"/>
        <w:rPr>
          <w:rFonts w:hint="eastAsia" w:ascii="宋体" w:hAnsi="宋体" w:cs="宋体"/>
          <w:b/>
          <w:bCs/>
          <w:color w:val="auto"/>
          <w:sz w:val="32"/>
          <w:szCs w:val="32"/>
          <w:highlight w:val="none"/>
        </w:rPr>
      </w:pPr>
    </w:p>
    <w:p w14:paraId="3EA3C5EB">
      <w:pPr>
        <w:pStyle w:val="3"/>
        <w:rPr>
          <w:rFonts w:hint="eastAsia" w:ascii="宋体" w:hAnsi="宋体" w:cs="宋体"/>
          <w:b/>
          <w:bCs/>
          <w:color w:val="auto"/>
          <w:sz w:val="32"/>
          <w:szCs w:val="32"/>
          <w:highlight w:val="none"/>
        </w:rPr>
      </w:pPr>
    </w:p>
    <w:p w14:paraId="2612DF1C">
      <w:pPr>
        <w:spacing w:line="360" w:lineRule="auto"/>
        <w:ind w:firstLine="1285" w:firstLineChars="400"/>
        <w:rPr>
          <w:rFonts w:hint="eastAsia" w:ascii="宋体" w:hAnsi="宋体" w:cs="宋体"/>
          <w:b/>
          <w:bCs/>
          <w:color w:val="auto"/>
          <w:sz w:val="32"/>
          <w:szCs w:val="32"/>
          <w:highlight w:val="none"/>
        </w:rPr>
      </w:pPr>
    </w:p>
    <w:p w14:paraId="2D0B3756">
      <w:pPr>
        <w:pStyle w:val="2"/>
        <w:rPr>
          <w:rFonts w:hint="eastAsia" w:ascii="宋体" w:hAnsi="宋体" w:cs="宋体"/>
          <w:b/>
          <w:bCs/>
          <w:color w:val="auto"/>
          <w:sz w:val="32"/>
          <w:szCs w:val="32"/>
          <w:highlight w:val="none"/>
        </w:rPr>
      </w:pPr>
    </w:p>
    <w:p w14:paraId="4EA5C152">
      <w:pPr>
        <w:pStyle w:val="3"/>
        <w:rPr>
          <w:rFonts w:hint="eastAsia"/>
        </w:rPr>
      </w:pPr>
    </w:p>
    <w:p w14:paraId="4D413857">
      <w:pPr>
        <w:spacing w:line="360" w:lineRule="auto"/>
        <w:jc w:val="center"/>
        <w:rPr>
          <w:rFonts w:hint="eastAsia" w:ascii="宋体" w:hAnsi="宋体" w:eastAsia="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扶风县财政局</w:t>
      </w:r>
    </w:p>
    <w:p w14:paraId="637D8D8D">
      <w:pPr>
        <w:spacing w:line="360" w:lineRule="auto"/>
        <w:jc w:val="center"/>
        <w:rPr>
          <w:rFonts w:hint="default" w:ascii="宋体" w:hAnsi="宋体" w:eastAsia="宋体" w:cs="宋体"/>
          <w:b/>
          <w:color w:val="auto"/>
          <w:sz w:val="32"/>
          <w:szCs w:val="32"/>
          <w:highlight w:val="none"/>
          <w:lang w:val="en-US"/>
        </w:rPr>
        <w:sectPr>
          <w:headerReference r:id="rId4" w:type="first"/>
          <w:headerReference r:id="rId3" w:type="default"/>
          <w:pgSz w:w="11906" w:h="16838"/>
          <w:pgMar w:top="1417" w:right="1531" w:bottom="1417" w:left="1701" w:header="851" w:footer="992" w:gutter="0"/>
          <w:pgBorders>
            <w:top w:val="none" w:sz="0" w:space="0"/>
            <w:left w:val="none" w:sz="0" w:space="0"/>
            <w:bottom w:val="none" w:sz="0" w:space="0"/>
            <w:right w:val="none" w:sz="0" w:space="0"/>
          </w:pgBorders>
          <w:pgNumType w:fmt="decimal"/>
          <w:cols w:space="720" w:num="1"/>
          <w:titlePg/>
          <w:rtlGutter w:val="0"/>
          <w:docGrid w:type="lines" w:linePitch="312" w:charSpace="0"/>
        </w:sectPr>
      </w:pPr>
      <w:r>
        <w:rPr>
          <w:rFonts w:hint="eastAsia" w:ascii="宋体" w:hAnsi="宋体" w:eastAsia="宋体" w:cs="宋体"/>
          <w:b/>
          <w:bCs/>
          <w:color w:val="auto"/>
          <w:sz w:val="32"/>
          <w:szCs w:val="32"/>
          <w:highlight w:val="none"/>
          <w:lang w:val="en-US" w:eastAsia="zh-CN"/>
        </w:rPr>
        <w:t>202</w:t>
      </w:r>
      <w:r>
        <w:rPr>
          <w:rFonts w:hint="eastAsia" w:ascii="宋体" w:hAnsi="宋体" w:cs="宋体"/>
          <w:b/>
          <w:bCs/>
          <w:color w:val="auto"/>
          <w:sz w:val="32"/>
          <w:szCs w:val="32"/>
          <w:highlight w:val="none"/>
          <w:lang w:val="en-US" w:eastAsia="zh-CN"/>
        </w:rPr>
        <w:t>5</w:t>
      </w:r>
      <w:r>
        <w:rPr>
          <w:rFonts w:hint="eastAsia" w:ascii="宋体" w:hAnsi="宋体" w:eastAsia="宋体" w:cs="宋体"/>
          <w:b/>
          <w:bCs/>
          <w:color w:val="auto"/>
          <w:sz w:val="32"/>
          <w:szCs w:val="32"/>
          <w:highlight w:val="none"/>
          <w:lang w:val="en-US" w:eastAsia="zh-CN"/>
        </w:rPr>
        <w:t>年</w:t>
      </w:r>
      <w:r>
        <w:rPr>
          <w:rFonts w:hint="eastAsia" w:ascii="宋体" w:hAnsi="宋体" w:cs="宋体"/>
          <w:b/>
          <w:bCs/>
          <w:color w:val="auto"/>
          <w:sz w:val="32"/>
          <w:szCs w:val="32"/>
          <w:highlight w:val="none"/>
          <w:lang w:val="en-US" w:eastAsia="zh-CN"/>
        </w:rPr>
        <w:t>7</w:t>
      </w:r>
      <w:r>
        <w:rPr>
          <w:rFonts w:hint="eastAsia" w:ascii="宋体" w:hAnsi="宋体" w:eastAsia="宋体" w:cs="宋体"/>
          <w:b/>
          <w:bCs/>
          <w:color w:val="auto"/>
          <w:sz w:val="32"/>
          <w:szCs w:val="32"/>
          <w:highlight w:val="none"/>
          <w:lang w:val="en-US" w:eastAsia="zh-CN"/>
        </w:rPr>
        <w:t>月</w:t>
      </w:r>
      <w:r>
        <w:rPr>
          <w:rFonts w:hint="eastAsia" w:ascii="宋体" w:hAnsi="宋体" w:cs="宋体"/>
          <w:b/>
          <w:bCs/>
          <w:color w:val="auto"/>
          <w:sz w:val="32"/>
          <w:szCs w:val="32"/>
          <w:highlight w:val="none"/>
          <w:lang w:val="en-US" w:eastAsia="zh-CN"/>
        </w:rPr>
        <w:t>16</w:t>
      </w:r>
      <w:r>
        <w:rPr>
          <w:rFonts w:hint="eastAsia" w:ascii="宋体" w:hAnsi="宋体" w:eastAsia="宋体" w:cs="宋体"/>
          <w:b/>
          <w:bCs/>
          <w:color w:val="auto"/>
          <w:sz w:val="32"/>
          <w:szCs w:val="32"/>
          <w:highlight w:val="none"/>
          <w:lang w:val="en-US" w:eastAsia="zh-CN"/>
        </w:rPr>
        <w:t>日</w:t>
      </w:r>
    </w:p>
    <w:p w14:paraId="4ACE43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 xml:space="preserve">  2024年扶风县路灯电力线路红绿灯等设施运行维护项目绩效评价报告</w:t>
      </w:r>
    </w:p>
    <w:p w14:paraId="0F6135AD">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sz w:val="32"/>
          <w:szCs w:val="32"/>
          <w:highlight w:val="none"/>
          <w:lang w:val="en-US" w:eastAsia="zh-CN"/>
        </w:rPr>
      </w:pPr>
    </w:p>
    <w:p w14:paraId="0FA6C8F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扶风县住房和城乡建设局</w:t>
      </w:r>
      <w:r>
        <w:rPr>
          <w:rFonts w:hint="eastAsia" w:ascii="仿宋_GB2312" w:hAnsi="仿宋_GB2312" w:eastAsia="仿宋_GB2312" w:cs="仿宋_GB2312"/>
          <w:color w:val="auto"/>
          <w:sz w:val="32"/>
          <w:szCs w:val="32"/>
          <w:highlight w:val="none"/>
        </w:rPr>
        <w:t>：</w:t>
      </w:r>
    </w:p>
    <w:p w14:paraId="297B0270">
      <w:pPr>
        <w:keepNext w:val="0"/>
        <w:keepLines w:val="0"/>
        <w:pageBreakBefore w:val="0"/>
        <w:widowControl w:val="0"/>
        <w:kinsoku/>
        <w:wordWrap w:val="0"/>
        <w:overflowPunct/>
        <w:topLinePunct w:val="0"/>
        <w:autoSpaceDE/>
        <w:autoSpaceDN/>
        <w:bidi w:val="0"/>
        <w:adjustRightInd/>
        <w:snapToGrid/>
        <w:spacing w:line="560" w:lineRule="exact"/>
        <w:ind w:left="0" w:leftChars="0" w:firstLine="646" w:firstLineChars="200"/>
        <w:textAlignment w:val="auto"/>
        <w:rPr>
          <w:rFonts w:hint="eastAsia" w:ascii="宋体"/>
          <w:b/>
          <w:color w:val="auto"/>
          <w:sz w:val="44"/>
          <w:szCs w:val="44"/>
          <w:highlight w:val="none"/>
        </w:rPr>
      </w:pPr>
      <w:r>
        <w:rPr>
          <w:rFonts w:hint="eastAsia" w:ascii="仿宋_GB2312" w:hAnsi="仿宋_GB2312" w:eastAsia="仿宋_GB2312" w:cs="仿宋_GB2312"/>
          <w:bCs/>
          <w:color w:val="auto"/>
          <w:sz w:val="32"/>
          <w:szCs w:val="32"/>
          <w:highlight w:val="none"/>
          <w:lang w:val="en-US" w:eastAsia="zh-CN"/>
        </w:rPr>
        <w:t>为深入贯彻落实党中央和省、市全面实施预算绩效管理的部署要求，加强财政支出管理，提高财政资金使用效益，根据财政部《关于印发〈项目支出绩效评价管理办法〉的通知》（财预〔2020〕10号）、宝鸡市财政局《宝鸡市加快实现预算绩效管理改革目标行动方案》（宝市财办检〔2021〕16号）、《扶风县财政局关于开展2024年度事后财政重点项目及部门整体支出绩效评价工作的通知》（扶财办绩〔2025〕5号）等相关文件要求，我局立即</w:t>
      </w:r>
      <w:r>
        <w:rPr>
          <w:rFonts w:hint="eastAsia" w:ascii="仿宋_GB2312" w:hAnsi="仿宋_GB2312" w:eastAsia="仿宋_GB2312" w:cs="仿宋_GB2312"/>
          <w:color w:val="auto"/>
          <w:kern w:val="2"/>
          <w:sz w:val="32"/>
          <w:szCs w:val="32"/>
          <w:highlight w:val="none"/>
          <w:lang w:val="en-US" w:eastAsia="zh-CN" w:bidi="ar-SA"/>
        </w:rPr>
        <w:t>成立绩效评价工作小组</w:t>
      </w:r>
      <w:r>
        <w:rPr>
          <w:rFonts w:hint="eastAsia" w:ascii="仿宋_GB2312" w:hAnsi="仿宋_GB2312" w:eastAsia="仿宋_GB2312" w:cs="仿宋_GB2312"/>
          <w:bCs/>
          <w:color w:val="auto"/>
          <w:sz w:val="32"/>
          <w:szCs w:val="32"/>
          <w:highlight w:val="none"/>
          <w:lang w:val="en-US" w:eastAsia="zh-CN"/>
        </w:rPr>
        <w:t>，深入项目实施单位，通过座谈交流、查阅资料、现场查看、问卷调查、查询账务系统、对比分析、综合研判等方式，在项目单位自评的基础上，遵循科学、规范、客观、公正的原则</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kern w:val="0"/>
          <w:sz w:val="32"/>
          <w:szCs w:val="32"/>
          <w:highlight w:val="none"/>
          <w:lang w:val="en-US" w:eastAsia="zh-CN"/>
        </w:rPr>
        <w:t>对2024年扶风县路灯电力线路红绿灯等设施运行维护项目</w:t>
      </w:r>
      <w:r>
        <w:rPr>
          <w:rFonts w:hint="eastAsia" w:ascii="仿宋_GB2312" w:hAnsi="仿宋_GB2312" w:eastAsia="仿宋_GB2312" w:cs="仿宋_GB2312"/>
          <w:b w:val="0"/>
          <w:bCs w:val="0"/>
          <w:color w:val="auto"/>
          <w:sz w:val="32"/>
          <w:szCs w:val="32"/>
          <w:highlight w:val="none"/>
        </w:rPr>
        <w:t>开展</w:t>
      </w:r>
      <w:r>
        <w:rPr>
          <w:rFonts w:hint="eastAsia" w:ascii="仿宋_GB2312" w:hAnsi="仿宋_GB2312" w:eastAsia="仿宋_GB2312" w:cs="仿宋_GB2312"/>
          <w:color w:val="auto"/>
          <w:sz w:val="32"/>
          <w:szCs w:val="32"/>
          <w:highlight w:val="none"/>
        </w:rPr>
        <w:t>了绩效评价。现将评价情况报告如下：</w:t>
      </w:r>
    </w:p>
    <w:p w14:paraId="054E5575">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default" w:ascii="黑体" w:hAnsi="黑体" w:eastAsia="黑体" w:cs="黑体"/>
          <w:b w:val="0"/>
          <w:bCs w:val="0"/>
          <w:color w:val="auto"/>
          <w:sz w:val="32"/>
          <w:szCs w:val="32"/>
          <w:highlight w:val="none"/>
          <w:lang w:val="en-US" w:eastAsia="zh-CN"/>
        </w:rPr>
      </w:pPr>
      <w:bookmarkStart w:id="0" w:name="_Toc206309462"/>
      <w:r>
        <w:rPr>
          <w:rFonts w:hint="eastAsia" w:ascii="黑体" w:hAnsi="黑体" w:eastAsia="黑体" w:cs="黑体"/>
          <w:b w:val="0"/>
          <w:bCs w:val="0"/>
          <w:color w:val="auto"/>
          <w:sz w:val="32"/>
          <w:szCs w:val="32"/>
          <w:highlight w:val="none"/>
          <w:lang w:val="en-US" w:eastAsia="zh-CN"/>
        </w:rPr>
        <w:t>一、项目概况</w:t>
      </w:r>
    </w:p>
    <w:p w14:paraId="6AA2D40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（一）项目背景</w:t>
      </w:r>
    </w:p>
    <w:p w14:paraId="4946FA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rPr>
        <w:t>随着城市的快速发展，路灯和红绿灯在提升交通安全、优化交通流量、节能环保以及增强城市美观等方面发挥着越来越重要的作用。</w:t>
      </w:r>
      <w:r>
        <w:rPr>
          <w:rFonts w:hint="default" w:ascii="仿宋_GB2312" w:hAnsi="仿宋_GB2312" w:eastAsia="仿宋_GB2312" w:cs="仿宋_GB2312"/>
          <w:color w:val="auto"/>
          <w:kern w:val="0"/>
          <w:sz w:val="32"/>
          <w:szCs w:val="32"/>
          <w:highlight w:val="none"/>
          <w:lang w:val="en-US" w:eastAsia="zh-CN"/>
        </w:rPr>
        <w:t>路灯、</w:t>
      </w:r>
      <w:r>
        <w:rPr>
          <w:rFonts w:hint="default" w:ascii="仿宋_GB2312" w:hAnsi="仿宋_GB2312" w:eastAsia="仿宋_GB2312" w:cs="仿宋_GB2312"/>
          <w:color w:val="auto"/>
          <w:kern w:val="2"/>
          <w:sz w:val="32"/>
          <w:szCs w:val="32"/>
          <w:highlight w:val="none"/>
          <w:lang w:val="en-US" w:eastAsia="zh-CN" w:bidi="ar-SA"/>
        </w:rPr>
        <w:t>红绿灯及其电力线路在现代城市交通和公共照明系统中扮演着至关重要的角色，它们各自的功能和作用是城市运行不可或缺的一部分</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不仅体现在提高交通效率和保障交通安全上，还体现在提升城市形象和居民生活质量等方面。</w:t>
      </w:r>
      <w:r>
        <w:rPr>
          <w:rFonts w:hint="eastAsia" w:ascii="仿宋_GB2312" w:hAnsi="仿宋_GB2312" w:eastAsia="仿宋_GB2312" w:cs="仿宋_GB2312"/>
          <w:color w:val="auto"/>
          <w:kern w:val="2"/>
          <w:sz w:val="32"/>
          <w:szCs w:val="32"/>
          <w:highlight w:val="none"/>
          <w:lang w:val="en-US" w:eastAsia="zh-CN" w:bidi="ar-SA"/>
        </w:rPr>
        <w:t>其中：</w:t>
      </w:r>
      <w:r>
        <w:rPr>
          <w:rFonts w:hint="default" w:ascii="仿宋_GB2312" w:hAnsi="仿宋_GB2312" w:eastAsia="仿宋_GB2312" w:cs="仿宋_GB2312"/>
          <w:color w:val="auto"/>
          <w:kern w:val="2"/>
          <w:sz w:val="32"/>
          <w:szCs w:val="32"/>
          <w:highlight w:val="none"/>
          <w:lang w:val="en-US" w:eastAsia="zh-CN" w:bidi="ar-SA"/>
        </w:rPr>
        <w:t>路灯</w:t>
      </w:r>
      <w:r>
        <w:rPr>
          <w:rFonts w:hint="eastAsia" w:ascii="仿宋_GB2312" w:hAnsi="仿宋_GB2312" w:eastAsia="仿宋_GB2312" w:cs="仿宋_GB2312"/>
          <w:color w:val="auto"/>
          <w:kern w:val="2"/>
          <w:sz w:val="32"/>
          <w:szCs w:val="32"/>
          <w:highlight w:val="none"/>
          <w:lang w:val="en-US" w:eastAsia="zh-CN" w:bidi="ar-SA"/>
        </w:rPr>
        <w:t>不仅</w:t>
      </w:r>
      <w:r>
        <w:rPr>
          <w:rFonts w:hint="default" w:ascii="仿宋_GB2312" w:hAnsi="仿宋_GB2312" w:eastAsia="仿宋_GB2312" w:cs="仿宋_GB2312"/>
          <w:color w:val="auto"/>
          <w:kern w:val="2"/>
          <w:sz w:val="32"/>
          <w:szCs w:val="32"/>
          <w:highlight w:val="none"/>
          <w:lang w:val="en-US" w:eastAsia="zh-CN" w:bidi="ar-SA"/>
        </w:rPr>
        <w:t>提供夜间照明</w:t>
      </w:r>
      <w:r>
        <w:rPr>
          <w:rFonts w:hint="eastAsia" w:ascii="仿宋_GB2312" w:hAnsi="仿宋_GB2312" w:eastAsia="仿宋_GB2312" w:cs="仿宋_GB2312"/>
          <w:color w:val="auto"/>
          <w:kern w:val="2"/>
          <w:sz w:val="32"/>
          <w:szCs w:val="32"/>
          <w:highlight w:val="none"/>
          <w:lang w:val="en-US" w:eastAsia="zh-CN" w:bidi="ar-SA"/>
        </w:rPr>
        <w:t>的作用，</w:t>
      </w:r>
      <w:r>
        <w:rPr>
          <w:rFonts w:hint="default" w:ascii="仿宋_GB2312" w:hAnsi="仿宋_GB2312" w:eastAsia="仿宋_GB2312" w:cs="仿宋_GB2312"/>
          <w:color w:val="auto"/>
          <w:kern w:val="2"/>
          <w:sz w:val="32"/>
          <w:szCs w:val="32"/>
          <w:highlight w:val="none"/>
          <w:lang w:val="en-US" w:eastAsia="zh-CN" w:bidi="ar-SA"/>
        </w:rPr>
        <w:t>保障行人和车辆夜间出行的安全，减少因视线不良引发的交通事故</w:t>
      </w:r>
      <w:r>
        <w:rPr>
          <w:rFonts w:hint="eastAsia" w:ascii="仿宋_GB2312" w:hAnsi="仿宋_GB2312" w:eastAsia="仿宋_GB2312" w:cs="仿宋_GB2312"/>
          <w:color w:val="auto"/>
          <w:kern w:val="2"/>
          <w:sz w:val="32"/>
          <w:szCs w:val="32"/>
          <w:highlight w:val="none"/>
          <w:lang w:val="en-US" w:eastAsia="zh-CN" w:bidi="ar-SA"/>
        </w:rPr>
        <w:t>；还可</w:t>
      </w:r>
      <w:r>
        <w:rPr>
          <w:rFonts w:hint="default" w:ascii="仿宋_GB2312" w:hAnsi="仿宋_GB2312" w:eastAsia="仿宋_GB2312" w:cs="仿宋_GB2312"/>
          <w:color w:val="auto"/>
          <w:kern w:val="2"/>
          <w:sz w:val="32"/>
          <w:szCs w:val="32"/>
          <w:highlight w:val="none"/>
          <w:lang w:val="en-US" w:eastAsia="zh-CN" w:bidi="ar-SA"/>
        </w:rPr>
        <w:t>增强治安防范</w:t>
      </w:r>
      <w:r>
        <w:rPr>
          <w:rFonts w:hint="eastAsia" w:ascii="仿宋_GB2312" w:hAnsi="仿宋_GB2312" w:eastAsia="仿宋_GB2312" w:cs="仿宋_GB2312"/>
          <w:color w:val="auto"/>
          <w:kern w:val="2"/>
          <w:sz w:val="32"/>
          <w:szCs w:val="32"/>
          <w:highlight w:val="none"/>
          <w:lang w:val="en-US" w:eastAsia="zh-CN" w:bidi="ar-SA"/>
        </w:rPr>
        <w:t>能力（通过路灯照明，其</w:t>
      </w:r>
      <w:r>
        <w:rPr>
          <w:rFonts w:hint="default" w:ascii="仿宋_GB2312" w:hAnsi="仿宋_GB2312" w:eastAsia="仿宋_GB2312" w:cs="仿宋_GB2312"/>
          <w:color w:val="auto"/>
          <w:kern w:val="2"/>
          <w:sz w:val="32"/>
          <w:szCs w:val="32"/>
          <w:highlight w:val="none"/>
          <w:lang w:val="en-US" w:eastAsia="zh-CN" w:bidi="ar-SA"/>
        </w:rPr>
        <w:t>明亮的街道有助于提高城市的公共安全水平，威慑犯罪行为</w:t>
      </w:r>
      <w:r>
        <w:rPr>
          <w:rFonts w:hint="eastAsia" w:ascii="仿宋_GB2312" w:hAnsi="仿宋_GB2312" w:eastAsia="仿宋_GB2312" w:cs="仿宋_GB2312"/>
          <w:color w:val="auto"/>
          <w:kern w:val="2"/>
          <w:sz w:val="32"/>
          <w:szCs w:val="32"/>
          <w:highlight w:val="none"/>
          <w:lang w:val="en-US" w:eastAsia="zh-CN" w:bidi="ar-SA"/>
        </w:rPr>
        <w:t>）；也可</w:t>
      </w:r>
      <w:r>
        <w:rPr>
          <w:rFonts w:hint="default" w:ascii="仿宋_GB2312" w:hAnsi="仿宋_GB2312" w:eastAsia="仿宋_GB2312" w:cs="仿宋_GB2312"/>
          <w:color w:val="auto"/>
          <w:kern w:val="2"/>
          <w:sz w:val="32"/>
          <w:szCs w:val="32"/>
          <w:highlight w:val="none"/>
          <w:lang w:val="en-US" w:eastAsia="zh-CN" w:bidi="ar-SA"/>
        </w:rPr>
        <w:t>提升城市形象</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良好的路灯设计可以美化城市夜景，提升城市的整体形象和文化内涵</w:t>
      </w:r>
      <w:r>
        <w:rPr>
          <w:rFonts w:hint="eastAsia" w:ascii="仿宋_GB2312" w:hAnsi="仿宋_GB2312" w:eastAsia="仿宋_GB2312" w:cs="仿宋_GB2312"/>
          <w:color w:val="auto"/>
          <w:kern w:val="2"/>
          <w:sz w:val="32"/>
          <w:szCs w:val="32"/>
          <w:highlight w:val="none"/>
          <w:lang w:val="en-US" w:eastAsia="zh-CN" w:bidi="ar-SA"/>
        </w:rPr>
        <w:t>）；其</w:t>
      </w:r>
      <w:r>
        <w:rPr>
          <w:rFonts w:hint="default" w:ascii="仿宋_GB2312" w:hAnsi="仿宋_GB2312" w:eastAsia="仿宋_GB2312" w:cs="仿宋_GB2312"/>
          <w:color w:val="auto"/>
          <w:kern w:val="2"/>
          <w:sz w:val="32"/>
          <w:szCs w:val="32"/>
          <w:highlight w:val="none"/>
          <w:lang w:val="en-US" w:eastAsia="zh-CN" w:bidi="ar-SA"/>
        </w:rPr>
        <w:t>智慧路灯可集成多种功能，如视频监控、环境监测、信息发布等，为智慧城市的建设提供支持。</w:t>
      </w:r>
      <w:r>
        <w:rPr>
          <w:rFonts w:hint="eastAsia" w:ascii="仿宋_GB2312" w:hAnsi="仿宋_GB2312" w:eastAsia="仿宋_GB2312" w:cs="仿宋_GB2312"/>
          <w:color w:val="auto"/>
          <w:kern w:val="2"/>
          <w:sz w:val="32"/>
          <w:szCs w:val="32"/>
          <w:highlight w:val="none"/>
          <w:lang w:val="en-US" w:eastAsia="zh-CN" w:bidi="ar-SA"/>
        </w:rPr>
        <w:t>而</w:t>
      </w:r>
      <w:r>
        <w:rPr>
          <w:rFonts w:hint="default" w:ascii="仿宋_GB2312" w:hAnsi="仿宋_GB2312" w:eastAsia="仿宋_GB2312" w:cs="仿宋_GB2312"/>
          <w:color w:val="auto"/>
          <w:kern w:val="2"/>
          <w:sz w:val="32"/>
          <w:szCs w:val="32"/>
          <w:highlight w:val="none"/>
          <w:lang w:val="en-US" w:eastAsia="zh-CN" w:bidi="ar-SA"/>
        </w:rPr>
        <w:t>红绿灯</w:t>
      </w:r>
      <w:r>
        <w:rPr>
          <w:rFonts w:hint="eastAsia" w:ascii="仿宋_GB2312" w:hAnsi="仿宋_GB2312" w:eastAsia="仿宋_GB2312" w:cs="仿宋_GB2312"/>
          <w:color w:val="auto"/>
          <w:kern w:val="2"/>
          <w:sz w:val="32"/>
          <w:szCs w:val="32"/>
          <w:highlight w:val="none"/>
          <w:lang w:val="en-US" w:eastAsia="zh-CN" w:bidi="ar-SA"/>
        </w:rPr>
        <w:t>不仅可</w:t>
      </w:r>
      <w:r>
        <w:rPr>
          <w:rFonts w:hint="default" w:ascii="仿宋_GB2312" w:hAnsi="仿宋_GB2312" w:eastAsia="仿宋_GB2312" w:cs="仿宋_GB2312"/>
          <w:color w:val="auto"/>
          <w:kern w:val="2"/>
          <w:sz w:val="32"/>
          <w:szCs w:val="32"/>
          <w:highlight w:val="none"/>
          <w:lang w:val="en-US" w:eastAsia="zh-CN" w:bidi="ar-SA"/>
        </w:rPr>
        <w:t>控制交通流量</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通过红、黄、绿三种信号的变换，指示车辆和行人的通行与停止，确保交通秩序</w:t>
      </w:r>
      <w:r>
        <w:rPr>
          <w:rFonts w:hint="eastAsia" w:ascii="仿宋_GB2312" w:hAnsi="仿宋_GB2312" w:eastAsia="仿宋_GB2312" w:cs="仿宋_GB2312"/>
          <w:color w:val="auto"/>
          <w:kern w:val="2"/>
          <w:sz w:val="32"/>
          <w:szCs w:val="32"/>
          <w:highlight w:val="none"/>
          <w:lang w:val="en-US" w:eastAsia="zh-CN" w:bidi="ar-SA"/>
        </w:rPr>
        <w:t>，还可</w:t>
      </w:r>
      <w:r>
        <w:rPr>
          <w:rFonts w:hint="default" w:ascii="仿宋_GB2312" w:hAnsi="仿宋_GB2312" w:eastAsia="仿宋_GB2312" w:cs="仿宋_GB2312"/>
          <w:color w:val="auto"/>
          <w:kern w:val="2"/>
          <w:sz w:val="32"/>
          <w:szCs w:val="32"/>
          <w:highlight w:val="none"/>
          <w:lang w:val="en-US" w:eastAsia="zh-CN" w:bidi="ar-SA"/>
        </w:rPr>
        <w:t>减少交通事故</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明确交通参与者之间的优先权，有效避免交叉路口处的冲突，降低事故发生率</w:t>
      </w:r>
      <w:r>
        <w:rPr>
          <w:rFonts w:hint="eastAsia" w:ascii="仿宋_GB2312" w:hAnsi="仿宋_GB2312" w:eastAsia="仿宋_GB2312" w:cs="仿宋_GB2312"/>
          <w:color w:val="auto"/>
          <w:kern w:val="2"/>
          <w:sz w:val="32"/>
          <w:szCs w:val="32"/>
          <w:highlight w:val="none"/>
          <w:lang w:val="en-US" w:eastAsia="zh-CN" w:bidi="ar-SA"/>
        </w:rPr>
        <w:t>；更可</w:t>
      </w:r>
      <w:r>
        <w:rPr>
          <w:rFonts w:hint="default" w:ascii="仿宋_GB2312" w:hAnsi="仿宋_GB2312" w:eastAsia="仿宋_GB2312" w:cs="仿宋_GB2312"/>
          <w:color w:val="auto"/>
          <w:kern w:val="2"/>
          <w:sz w:val="32"/>
          <w:szCs w:val="32"/>
          <w:highlight w:val="none"/>
          <w:lang w:val="en-US" w:eastAsia="zh-CN" w:bidi="ar-SA"/>
        </w:rPr>
        <w:t>提高交通效率</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合理设置红绿灯的配时方案，可以优化交通流，减少车辆等待时间，提高道路通行能力</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w:t>
      </w:r>
    </w:p>
    <w:p w14:paraId="4FAA9D1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为保障扶风县部分区域路灯、红绿灯正常运行，2022年12月12日，扶风县人民政府召开第二十四次专题问题会议，就关于扶风县部分区域路灯运行费用有关问题进行了专题研究，会议指出，2021年8月，国家电网有限公司合并陕西省地方电力（集团）有限公司后，按照国网公司资金账户管理规定，国网扶风供电公司无法办理银行账户开立手续，导致路灯资金不能正常划转及核算，无法落实承担路灯费用的收支管理。会议确定：</w:t>
      </w:r>
    </w:p>
    <w:p w14:paraId="75D758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国网扶风供电公司主要承担县城新老区、绛帐镇车站街道、迎宾路及扶风工业园区东西大道等区域（不含县住建局新建及管理的路灯）所涉及的电力线路、路灯、红绿灯等设施的运行维护工作，县财政每年支付运行维护费用为360.00万元。</w:t>
      </w:r>
    </w:p>
    <w:p w14:paraId="4066307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由县财政局负责，县住房和城乡建设局配合，县财政局每年将路灯运行维护费用按程序拨付县住建局，由县住房和城乡建设局下属扶风绿盛城建有限责任公司与国网扶风供电公司签订相关协议，支付路灯运行维修等费用，从2022年下半年开始执行。</w:t>
      </w:r>
    </w:p>
    <w:p w14:paraId="6BE5602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3.由国网扶风供电公司负责，强化路灯、红绿灯等设施管理，加强对街道两旁路灯用电设施运行情况的排查、检查和维护，确保路灯、红绿灯等设施安全运行。</w:t>
      </w:r>
    </w:p>
    <w:p w14:paraId="181CC2C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2024年2月20日，扶风县住房和城乡建设局召开--关于扶风县老城区市政设施管理维护职责移交专题工作会，就县城新老区路灯、市政道路、园林绿化设施管理维护职责等事项进行研究，会议形成以下决议：</w:t>
      </w:r>
    </w:p>
    <w:p w14:paraId="6C8A91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对县城新老区路灯（含新兴产业园）管理维护职责进行移交。根据目前县城路灯管理维护现状，县城区（含新区、老区、新兴产业园区）共有路灯灯杆2355个，灯头4975个，总功率约591千瓦。依据《扶风县住房和城乡建设局职能配置内设机构和人员编制规定的通知》（扶办字〔2019]72号）及2022年扶风县人民政府第二十四次专题会议《关于我县部分区域路灯运行费用有关问题的会议纪要》等文件精神，介绍了县城路灯管理维护职能有关情况。会议进行充分讨论，并一致同意：一是依据《扶风县住房和城乡建设局职能配置内设机构和人员编制规定的通知》（扶办字〔2019〕72号）文件要求，县城市管理执法局负责县城新老区（含新兴产业园、美阳大道）所有路灯、景观灯的管理维护职责。由县市政工程养护服务中心负责日常具体管理和维护，并指导县电力公司调控县城路灯各季节开关时间；及时向县电力公司推送路灯故障问题；协调解决县电力公司在路灯维修过程中遇到的问题；处理县城各类工程在实施过程中与路灯管线、灯杆、控制箱等设施相冲突、相打架及被破坏等问题；追踪损坏路灯设施线索，并依法追究赔偿和行政处罚；同时做好各类涉及路灯问题的投诉建议处理回复等相关工作。二是县电力公司在县市政工程养护服务中心全面安排下，做好县城新老区（含新兴产业园、美阳大道）所有路灯、景观灯日常运行维护工作；负责对电路管线、灯杆、灯头以及控制箱、变电箱等设施的日常安全巡查、故障维修、开关时间调控等工作，确保各个路段路灯夜间正常开启，方便市民出行；同时配合县市政工程养护服务中心做好各类涉及路灯问题的投诉建议处理回复工作。三是县县住房和城乡建设局（扶风县绿盛城建有限责任公司)，负责建成区路灯和景观灯的安装建设工作，并按季度支付路灯电费、按半年支付路灯维护费用等相关工作。</w:t>
      </w:r>
    </w:p>
    <w:p w14:paraId="44CD91E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对新老区部分市政道路、园林绿化设施及其附属设施管理维护职责进行移交。会议一致同意，一是将2022年以来提升改造后的新老区13条道路及附属设施管理维护职责移交县市政工程养护服务中心。二是将2022年以来提升改造好的西大街游园广场等11条绿化带及附属设施管理维护职责移交县园林绿化管理站（具体以书面道路、绿化带详细移交清单为准)。</w:t>
      </w:r>
    </w:p>
    <w:p w14:paraId="2CF508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县城新老区市政设施管理维护职责移交要求。一是县住房和城乡建设局要摸清县城新老区路灯、市政道路、园林绿化设施及附属设施数量、长度、保修期限等底数，形成移交清单，必要的时候双方去现场查看，确保底数清楚，责任明确。二是经移交双方确认无误后，在移交清单上签字确认，按会议要求履行职责。</w:t>
      </w:r>
    </w:p>
    <w:p w14:paraId="3D5A88F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Autospacing="0" w:line="560" w:lineRule="exact"/>
        <w:ind w:right="0" w:firstLine="646" w:firstLineChars="200"/>
        <w:jc w:val="left"/>
        <w:textAlignment w:val="auto"/>
        <w:rPr>
          <w:rFonts w:hint="default" w:ascii="Times New Roman" w:hAnsi="Times New Roman" w:eastAsia="宋体" w:cs="Times New Roman"/>
          <w:b/>
          <w:bCs/>
          <w:color w:val="auto"/>
          <w:kern w:val="0"/>
          <w:sz w:val="30"/>
          <w:szCs w:val="30"/>
          <w:lang w:val="en-US" w:eastAsia="zh-CN" w:bidi="ar"/>
        </w:rPr>
      </w:pPr>
      <w:r>
        <w:rPr>
          <w:rFonts w:hint="eastAsia" w:ascii="仿宋_GB2312" w:hAnsi="仿宋_GB2312" w:eastAsia="仿宋_GB2312" w:cs="仿宋_GB2312"/>
          <w:color w:val="auto"/>
          <w:kern w:val="2"/>
          <w:sz w:val="32"/>
          <w:szCs w:val="32"/>
          <w:highlight w:val="none"/>
          <w:lang w:val="en-US" w:eastAsia="zh-CN" w:bidi="ar-SA"/>
        </w:rPr>
        <w:t>按照区政府第24次会议纪要要求，2024年2月9日，扶风县财政局以《关于批复2024年度部门综合预算的通知》（扶财办预〔2024〕1号）文件预算安排项目资金360.00万元。</w:t>
      </w:r>
    </w:p>
    <w:p w14:paraId="75E653C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color w:val="auto"/>
          <w:sz w:val="32"/>
          <w:szCs w:val="32"/>
          <w:highlight w:val="none"/>
          <w:lang w:val="en-US" w:eastAsia="zh-CN"/>
        </w:rPr>
        <w:t>（二）项目基本情况</w:t>
      </w:r>
    </w:p>
    <w:p w14:paraId="6C21DA1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spacing w:val="-6"/>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项目名称：</w:t>
      </w:r>
      <w:r>
        <w:rPr>
          <w:rFonts w:hint="eastAsia" w:ascii="仿宋_GB2312" w:hAnsi="仿宋_GB2312" w:eastAsia="仿宋_GB2312" w:cs="仿宋_GB2312"/>
          <w:color w:val="auto"/>
          <w:spacing w:val="-6"/>
          <w:kern w:val="2"/>
          <w:sz w:val="32"/>
          <w:szCs w:val="32"/>
          <w:highlight w:val="none"/>
          <w:lang w:val="en-US" w:eastAsia="zh-CN" w:bidi="ar-SA"/>
        </w:rPr>
        <w:t>2024年扶风县路灯电力线路红绿灯等设施运行维护项目。</w:t>
      </w:r>
    </w:p>
    <w:p w14:paraId="48B9383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2.主管部门：扶风县住房和城乡建设局</w:t>
      </w:r>
    </w:p>
    <w:p w14:paraId="753F5645">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3.实施</w:t>
      </w:r>
      <w:r>
        <w:rPr>
          <w:rFonts w:hint="eastAsia" w:ascii="仿宋_GB2312" w:hAnsi="仿宋_GB2312" w:eastAsia="仿宋_GB2312" w:cs="仿宋_GB2312"/>
          <w:color w:val="auto"/>
          <w:kern w:val="2"/>
          <w:sz w:val="32"/>
          <w:szCs w:val="32"/>
          <w:highlight w:val="none"/>
          <w:lang w:val="zh-CN" w:eastAsia="zh-CN" w:bidi="ar-SA"/>
        </w:rPr>
        <w:t>单位：</w:t>
      </w:r>
      <w:r>
        <w:rPr>
          <w:rFonts w:hint="eastAsia" w:ascii="仿宋_GB2312" w:hAnsi="仿宋_GB2312" w:eastAsia="仿宋_GB2312" w:cs="仿宋_GB2312"/>
          <w:color w:val="auto"/>
          <w:kern w:val="2"/>
          <w:sz w:val="32"/>
          <w:szCs w:val="32"/>
          <w:highlight w:val="none"/>
          <w:lang w:val="en-US" w:eastAsia="zh-CN" w:bidi="ar-SA"/>
        </w:rPr>
        <w:t>扶风县绿盛城建有限责任公司</w:t>
      </w:r>
    </w:p>
    <w:p w14:paraId="2A0C10E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4.建设地点：扶风县城新老区及绛帐镇</w:t>
      </w:r>
    </w:p>
    <w:p w14:paraId="0B7C0E8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5.项目建设内容和规模：扶风县城新老区、绛帐镇车站街道、迎宾路及扶风工业园东西大道等区域所涉及的电力线路、路灯等设施的运行维护工作。</w:t>
      </w:r>
    </w:p>
    <w:p w14:paraId="60BD5D8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6.预算资金：360.00万元</w:t>
      </w:r>
    </w:p>
    <w:p w14:paraId="249CBE86">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7.资金来源：县财政专项资金</w:t>
      </w:r>
    </w:p>
    <w:p w14:paraId="50E25A88">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8.建设年限：2024年1月1日</w:t>
      </w:r>
      <w:r>
        <w:rPr>
          <w:rFonts w:hint="eastAsia" w:ascii="仿宋_GB2312" w:hAnsi="仿宋_GB2312" w:eastAsia="仿宋_GB2312" w:cs="仿宋_GB2312"/>
          <w:color w:val="auto"/>
          <w:kern w:val="2"/>
          <w:sz w:val="32"/>
          <w:szCs w:val="32"/>
          <w:highlight w:val="none"/>
          <w:lang w:val="zh-CN" w:eastAsia="zh-CN" w:bidi="ar-SA"/>
        </w:rPr>
        <w:t>至</w:t>
      </w:r>
      <w:r>
        <w:rPr>
          <w:rFonts w:hint="eastAsia" w:ascii="仿宋_GB2312" w:hAnsi="仿宋_GB2312" w:eastAsia="仿宋_GB2312" w:cs="仿宋_GB2312"/>
          <w:color w:val="auto"/>
          <w:kern w:val="2"/>
          <w:sz w:val="32"/>
          <w:szCs w:val="32"/>
          <w:highlight w:val="none"/>
          <w:lang w:val="en-US" w:eastAsia="zh-CN" w:bidi="ar-SA"/>
        </w:rPr>
        <w:t>2024年12月31日</w:t>
      </w:r>
    </w:p>
    <w:p w14:paraId="54E4D9E1">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9.预期效益及作用：</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通过项目实施,</w:t>
      </w:r>
      <w:r>
        <w:rPr>
          <w:rFonts w:hint="eastAsia" w:ascii="仿宋_GB2312" w:hAnsi="仿宋_GB2312" w:eastAsia="仿宋_GB2312" w:cs="仿宋_GB2312"/>
          <w:color w:val="auto"/>
          <w:kern w:val="2"/>
          <w:sz w:val="32"/>
          <w:szCs w:val="32"/>
          <w:highlight w:val="none"/>
          <w:lang w:val="en-US" w:eastAsia="zh-CN" w:bidi="ar-SA"/>
        </w:rPr>
        <w:t>不仅可</w:t>
      </w:r>
      <w:r>
        <w:rPr>
          <w:rFonts w:hint="default" w:ascii="仿宋_GB2312" w:hAnsi="仿宋_GB2312" w:eastAsia="仿宋_GB2312" w:cs="仿宋_GB2312"/>
          <w:color w:val="auto"/>
          <w:kern w:val="2"/>
          <w:sz w:val="32"/>
          <w:szCs w:val="32"/>
          <w:highlight w:val="none"/>
          <w:lang w:val="en-US" w:eastAsia="zh-CN" w:bidi="ar-SA"/>
        </w:rPr>
        <w:t>提供夜间照明</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保障行人和车辆夜间出行的安全，减少因视线不良引发的交通事故</w:t>
      </w:r>
      <w:r>
        <w:rPr>
          <w:rFonts w:hint="eastAsia" w:ascii="仿宋_GB2312" w:hAnsi="仿宋_GB2312" w:eastAsia="仿宋_GB2312" w:cs="仿宋_GB2312"/>
          <w:color w:val="auto"/>
          <w:kern w:val="2"/>
          <w:sz w:val="32"/>
          <w:szCs w:val="32"/>
          <w:highlight w:val="none"/>
          <w:lang w:val="en-US" w:eastAsia="zh-CN" w:bidi="ar-SA"/>
        </w:rPr>
        <w:t>；还可</w:t>
      </w:r>
      <w:r>
        <w:rPr>
          <w:rFonts w:hint="default" w:ascii="仿宋_GB2312" w:hAnsi="仿宋_GB2312" w:eastAsia="仿宋_GB2312" w:cs="仿宋_GB2312"/>
          <w:color w:val="auto"/>
          <w:kern w:val="2"/>
          <w:sz w:val="32"/>
          <w:szCs w:val="32"/>
          <w:highlight w:val="none"/>
          <w:lang w:val="en-US" w:eastAsia="zh-CN" w:bidi="ar-SA"/>
        </w:rPr>
        <w:t>增强治安防范</w:t>
      </w:r>
      <w:r>
        <w:rPr>
          <w:rFonts w:hint="eastAsia" w:ascii="仿宋_GB2312" w:hAnsi="仿宋_GB2312" w:eastAsia="仿宋_GB2312" w:cs="仿宋_GB2312"/>
          <w:color w:val="auto"/>
          <w:kern w:val="2"/>
          <w:sz w:val="32"/>
          <w:szCs w:val="32"/>
          <w:highlight w:val="none"/>
          <w:lang w:val="en-US" w:eastAsia="zh-CN" w:bidi="ar-SA"/>
        </w:rPr>
        <w:t>作用。</w:t>
      </w:r>
      <w:r>
        <w:rPr>
          <w:rFonts w:hint="default" w:ascii="仿宋_GB2312" w:hAnsi="仿宋_GB2312" w:eastAsia="仿宋_GB2312" w:cs="仿宋_GB2312"/>
          <w:color w:val="auto"/>
          <w:kern w:val="2"/>
          <w:sz w:val="32"/>
          <w:szCs w:val="32"/>
          <w:highlight w:val="none"/>
          <w:lang w:val="en-US" w:eastAsia="zh-CN" w:bidi="ar-SA"/>
        </w:rPr>
        <w:t>有助于提高城市的公共安全水平，威慑犯罪行为</w:t>
      </w:r>
      <w:r>
        <w:rPr>
          <w:rFonts w:hint="eastAsia" w:ascii="仿宋_GB2312" w:hAnsi="仿宋_GB2312" w:eastAsia="仿宋_GB2312" w:cs="仿宋_GB2312"/>
          <w:color w:val="auto"/>
          <w:kern w:val="2"/>
          <w:sz w:val="32"/>
          <w:szCs w:val="32"/>
          <w:highlight w:val="none"/>
          <w:lang w:val="en-US" w:eastAsia="zh-CN" w:bidi="ar-SA"/>
        </w:rPr>
        <w:t>；也可</w:t>
      </w:r>
      <w:r>
        <w:rPr>
          <w:rFonts w:hint="default" w:ascii="仿宋_GB2312" w:hAnsi="仿宋_GB2312" w:eastAsia="仿宋_GB2312" w:cs="仿宋_GB2312"/>
          <w:color w:val="auto"/>
          <w:kern w:val="2"/>
          <w:sz w:val="32"/>
          <w:szCs w:val="32"/>
          <w:highlight w:val="none"/>
          <w:lang w:val="en-US" w:eastAsia="zh-CN" w:bidi="ar-SA"/>
        </w:rPr>
        <w:t>提升城市的整体形象和文化内涵</w:t>
      </w:r>
      <w:r>
        <w:rPr>
          <w:rFonts w:hint="eastAsia" w:ascii="仿宋_GB2312" w:hAnsi="仿宋_GB2312" w:eastAsia="仿宋_GB2312" w:cs="仿宋_GB2312"/>
          <w:color w:val="auto"/>
          <w:kern w:val="2"/>
          <w:sz w:val="32"/>
          <w:szCs w:val="32"/>
          <w:highlight w:val="none"/>
          <w:lang w:val="en-US" w:eastAsia="zh-CN" w:bidi="ar-SA"/>
        </w:rPr>
        <w:t>，促进经济社会高质量发展</w:t>
      </w:r>
      <w:r>
        <w:rPr>
          <w:rFonts w:hint="default" w:ascii="仿宋_GB2312" w:hAnsi="仿宋_GB2312" w:eastAsia="仿宋_GB2312" w:cs="仿宋_GB2312"/>
          <w:color w:val="auto"/>
          <w:kern w:val="2"/>
          <w:sz w:val="32"/>
          <w:szCs w:val="32"/>
          <w:highlight w:val="none"/>
          <w:lang w:val="en-US" w:eastAsia="zh-CN" w:bidi="ar-SA"/>
        </w:rPr>
        <w:t>。</w:t>
      </w:r>
    </w:p>
    <w:p w14:paraId="3622F19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color w:val="auto"/>
          <w:kern w:val="2"/>
          <w:sz w:val="32"/>
          <w:szCs w:val="32"/>
          <w:highlight w:val="none"/>
          <w:lang w:val="en-US" w:eastAsia="zh-CN" w:bidi="ar-SA"/>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rPr>
        <w:t>安排情况</w:t>
      </w:r>
    </w:p>
    <w:p w14:paraId="4BAA4B1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1.项目资金预算情况</w:t>
      </w:r>
    </w:p>
    <w:p w14:paraId="76399AC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2024年2月9日，扶风县财政局以《关于批复2024年度部门综合预算的通知》（扶财办预〔2024〕1号）文件预算安排项目资金360.00万元，详见表1。</w:t>
      </w:r>
    </w:p>
    <w:p w14:paraId="2BF959C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2.项目资金到位情况</w:t>
      </w:r>
    </w:p>
    <w:p w14:paraId="04A02DE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截至2024年10月底，项目共拨付到位项目资金360.00元，预算资金到位率100%，详见表1。</w:t>
      </w:r>
    </w:p>
    <w:p w14:paraId="76C48732">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表1   项目资金到位情况表</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21"/>
          <w:szCs w:val="21"/>
          <w:highlight w:val="none"/>
          <w:lang w:val="en-US" w:eastAsia="zh-CN"/>
        </w:rPr>
        <w:t xml:space="preserve">   单位：万元</w:t>
      </w:r>
    </w:p>
    <w:tbl>
      <w:tblPr>
        <w:tblStyle w:val="15"/>
        <w:tblpPr w:leftFromText="181" w:rightFromText="181" w:vertAnchor="text" w:horzAnchor="page" w:tblpX="1668" w:tblpY="114"/>
        <w:tblOverlap w:val="never"/>
        <w:tblW w:w="88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2111"/>
        <w:gridCol w:w="1232"/>
        <w:gridCol w:w="1264"/>
        <w:gridCol w:w="1093"/>
        <w:gridCol w:w="868"/>
        <w:gridCol w:w="1693"/>
      </w:tblGrid>
      <w:tr w14:paraId="2B2F6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64" w:type="dxa"/>
            <w:tcBorders>
              <w:left w:val="nil"/>
              <w:bottom w:val="single" w:color="auto" w:sz="4" w:space="0"/>
              <w:right w:val="single" w:color="auto" w:sz="4" w:space="0"/>
            </w:tcBorders>
            <w:shd w:val="clear" w:color="auto" w:fill="D7D7D7"/>
            <w:noWrap w:val="0"/>
            <w:vAlign w:val="center"/>
          </w:tcPr>
          <w:p w14:paraId="186CCB3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序号</w:t>
            </w:r>
          </w:p>
        </w:tc>
        <w:tc>
          <w:tcPr>
            <w:tcW w:w="2111" w:type="dxa"/>
            <w:tcBorders>
              <w:left w:val="single" w:color="auto" w:sz="4" w:space="0"/>
              <w:bottom w:val="single" w:color="auto" w:sz="4" w:space="0"/>
              <w:right w:val="single" w:color="000000" w:sz="4" w:space="0"/>
            </w:tcBorders>
            <w:shd w:val="clear" w:color="auto" w:fill="D7D7D7"/>
            <w:noWrap w:val="0"/>
            <w:vAlign w:val="center"/>
          </w:tcPr>
          <w:p w14:paraId="518F91F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项目名称</w:t>
            </w:r>
          </w:p>
        </w:tc>
        <w:tc>
          <w:tcPr>
            <w:tcW w:w="1232" w:type="dxa"/>
            <w:tcBorders>
              <w:left w:val="single" w:color="000000" w:sz="4" w:space="0"/>
              <w:bottom w:val="single" w:color="auto" w:sz="4" w:space="0"/>
              <w:right w:val="single" w:color="auto" w:sz="4" w:space="0"/>
            </w:tcBorders>
            <w:shd w:val="clear" w:color="auto" w:fill="D7D7D7"/>
            <w:noWrap w:val="0"/>
            <w:vAlign w:val="center"/>
          </w:tcPr>
          <w:p w14:paraId="42A0D80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预算资金</w:t>
            </w:r>
          </w:p>
        </w:tc>
        <w:tc>
          <w:tcPr>
            <w:tcW w:w="1264" w:type="dxa"/>
            <w:tcBorders>
              <w:left w:val="single" w:color="auto" w:sz="4" w:space="0"/>
              <w:bottom w:val="single" w:color="auto" w:sz="4" w:space="0"/>
              <w:right w:val="nil"/>
            </w:tcBorders>
            <w:shd w:val="clear" w:color="auto" w:fill="D7D7D7"/>
            <w:noWrap w:val="0"/>
            <w:vAlign w:val="center"/>
          </w:tcPr>
          <w:p w14:paraId="641AB61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到位资金</w:t>
            </w:r>
          </w:p>
        </w:tc>
        <w:tc>
          <w:tcPr>
            <w:tcW w:w="1093" w:type="dxa"/>
            <w:tcBorders>
              <w:left w:val="single" w:color="auto" w:sz="4" w:space="0"/>
              <w:bottom w:val="single" w:color="auto" w:sz="4" w:space="0"/>
              <w:right w:val="nil"/>
            </w:tcBorders>
            <w:shd w:val="clear" w:color="auto" w:fill="D7D7D7"/>
            <w:noWrap w:val="0"/>
            <w:vAlign w:val="center"/>
          </w:tcPr>
          <w:p w14:paraId="0B07021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sz w:val="21"/>
                <w:szCs w:val="21"/>
                <w:highlight w:val="none"/>
                <w:vertAlign w:val="baseline"/>
                <w:lang w:val="en-US" w:eastAsia="zh-CN"/>
              </w:rPr>
              <w:t>到位日期</w:t>
            </w:r>
          </w:p>
        </w:tc>
        <w:tc>
          <w:tcPr>
            <w:tcW w:w="868" w:type="dxa"/>
            <w:tcBorders>
              <w:left w:val="single" w:color="auto" w:sz="4" w:space="0"/>
              <w:bottom w:val="single" w:color="auto" w:sz="4" w:space="0"/>
              <w:right w:val="nil"/>
            </w:tcBorders>
            <w:shd w:val="clear" w:color="auto" w:fill="D7D7D7"/>
            <w:noWrap w:val="0"/>
            <w:vAlign w:val="center"/>
          </w:tcPr>
          <w:p w14:paraId="410E933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sz w:val="21"/>
                <w:szCs w:val="21"/>
                <w:highlight w:val="none"/>
                <w:vertAlign w:val="baseline"/>
                <w:lang w:val="en-US" w:eastAsia="zh-CN"/>
              </w:rPr>
            </w:pPr>
            <w:r>
              <w:rPr>
                <w:rFonts w:hint="eastAsia" w:ascii="仿宋" w:hAnsi="仿宋" w:eastAsia="仿宋" w:cs="仿宋"/>
                <w:b/>
                <w:bCs/>
                <w:color w:val="auto"/>
                <w:kern w:val="2"/>
                <w:sz w:val="21"/>
                <w:szCs w:val="21"/>
                <w:highlight w:val="none"/>
                <w:vertAlign w:val="baseline"/>
                <w:lang w:val="en-US" w:eastAsia="zh-CN" w:bidi="ar-SA"/>
              </w:rPr>
              <w:t>到位率</w:t>
            </w:r>
          </w:p>
        </w:tc>
        <w:tc>
          <w:tcPr>
            <w:tcW w:w="1693" w:type="dxa"/>
            <w:tcBorders>
              <w:left w:val="single" w:color="auto" w:sz="4" w:space="0"/>
              <w:bottom w:val="single" w:color="auto" w:sz="4" w:space="0"/>
              <w:right w:val="nil"/>
            </w:tcBorders>
            <w:shd w:val="clear" w:color="auto" w:fill="D7D7D7"/>
            <w:noWrap w:val="0"/>
            <w:vAlign w:val="center"/>
          </w:tcPr>
          <w:p w14:paraId="5D4F6A8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文件号</w:t>
            </w:r>
          </w:p>
        </w:tc>
      </w:tr>
      <w:tr w14:paraId="40AF4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564" w:type="dxa"/>
            <w:tcBorders>
              <w:top w:val="single" w:color="auto" w:sz="4" w:space="0"/>
              <w:left w:val="nil"/>
              <w:right w:val="single" w:color="auto" w:sz="4" w:space="0"/>
            </w:tcBorders>
            <w:noWrap w:val="0"/>
            <w:vAlign w:val="center"/>
          </w:tcPr>
          <w:p w14:paraId="57711BA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val="0"/>
                <w:bCs w:val="0"/>
                <w:color w:val="auto"/>
                <w:sz w:val="21"/>
                <w:szCs w:val="21"/>
                <w:highlight w:val="none"/>
                <w:vertAlign w:val="baseline"/>
                <w:lang w:val="en-US" w:eastAsia="zh-CN"/>
              </w:rPr>
            </w:pPr>
            <w:r>
              <w:rPr>
                <w:rFonts w:hint="eastAsia" w:ascii="仿宋" w:hAnsi="仿宋" w:eastAsia="仿宋" w:cs="仿宋"/>
                <w:b w:val="0"/>
                <w:bCs w:val="0"/>
                <w:color w:val="auto"/>
                <w:sz w:val="21"/>
                <w:szCs w:val="21"/>
                <w:highlight w:val="none"/>
                <w:vertAlign w:val="baseline"/>
                <w:lang w:val="en-US" w:eastAsia="zh-CN"/>
              </w:rPr>
              <w:t>1</w:t>
            </w:r>
          </w:p>
        </w:tc>
        <w:tc>
          <w:tcPr>
            <w:tcW w:w="2111" w:type="dxa"/>
            <w:tcBorders>
              <w:top w:val="single" w:color="auto" w:sz="4" w:space="0"/>
              <w:left w:val="single" w:color="auto" w:sz="4" w:space="0"/>
              <w:bottom w:val="single" w:color="000000" w:sz="4" w:space="0"/>
              <w:right w:val="single" w:color="000000" w:sz="4" w:space="0"/>
            </w:tcBorders>
            <w:noWrap w:val="0"/>
            <w:vAlign w:val="center"/>
          </w:tcPr>
          <w:p w14:paraId="60049B0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val="0"/>
                <w:bCs w:val="0"/>
                <w:color w:val="auto"/>
                <w:sz w:val="21"/>
                <w:szCs w:val="21"/>
                <w:highlight w:val="none"/>
                <w:vertAlign w:val="baseline"/>
                <w:lang w:val="en-US" w:eastAsia="zh-CN"/>
              </w:rPr>
            </w:pPr>
            <w:r>
              <w:rPr>
                <w:rFonts w:hint="eastAsia" w:ascii="仿宋" w:hAnsi="仿宋" w:eastAsia="仿宋" w:cs="仿宋"/>
                <w:b w:val="0"/>
                <w:bCs w:val="0"/>
                <w:color w:val="auto"/>
                <w:sz w:val="21"/>
                <w:szCs w:val="21"/>
                <w:highlight w:val="none"/>
                <w:vertAlign w:val="baseline"/>
                <w:lang w:val="en-US" w:eastAsia="zh-CN"/>
              </w:rPr>
              <w:t>路灯电力线路红绿灯等设施运行维护</w:t>
            </w:r>
          </w:p>
        </w:tc>
        <w:tc>
          <w:tcPr>
            <w:tcW w:w="1232" w:type="dxa"/>
            <w:tcBorders>
              <w:top w:val="single" w:color="auto" w:sz="4" w:space="0"/>
              <w:left w:val="single" w:color="000000" w:sz="4" w:space="0"/>
              <w:bottom w:val="single" w:color="auto" w:sz="4" w:space="0"/>
              <w:right w:val="single" w:color="auto" w:sz="4" w:space="0"/>
            </w:tcBorders>
            <w:noWrap w:val="0"/>
            <w:vAlign w:val="center"/>
          </w:tcPr>
          <w:p w14:paraId="11FF376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360.00</w:t>
            </w:r>
          </w:p>
        </w:tc>
        <w:tc>
          <w:tcPr>
            <w:tcW w:w="1264" w:type="dxa"/>
            <w:tcBorders>
              <w:top w:val="single" w:color="auto" w:sz="4" w:space="0"/>
              <w:left w:val="single" w:color="auto" w:sz="4" w:space="0"/>
              <w:bottom w:val="single" w:color="auto" w:sz="4" w:space="0"/>
              <w:right w:val="nil"/>
            </w:tcBorders>
            <w:noWrap w:val="0"/>
            <w:vAlign w:val="center"/>
          </w:tcPr>
          <w:p w14:paraId="37691B3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360.00</w:t>
            </w:r>
          </w:p>
        </w:tc>
        <w:tc>
          <w:tcPr>
            <w:tcW w:w="1093" w:type="dxa"/>
            <w:tcBorders>
              <w:top w:val="single" w:color="auto" w:sz="4" w:space="0"/>
              <w:left w:val="single" w:color="auto" w:sz="4" w:space="0"/>
              <w:right w:val="nil"/>
            </w:tcBorders>
            <w:noWrap w:val="0"/>
            <w:vAlign w:val="center"/>
          </w:tcPr>
          <w:p w14:paraId="0CF0E058">
            <w:pPr>
              <w:pStyle w:val="3"/>
              <w:spacing w:line="240" w:lineRule="auto"/>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2024.05-2024.10</w:t>
            </w:r>
          </w:p>
        </w:tc>
        <w:tc>
          <w:tcPr>
            <w:tcW w:w="868" w:type="dxa"/>
            <w:tcBorders>
              <w:top w:val="single" w:color="auto" w:sz="4" w:space="0"/>
              <w:left w:val="single" w:color="auto" w:sz="4" w:space="0"/>
              <w:bottom w:val="single" w:color="auto" w:sz="4" w:space="0"/>
              <w:right w:val="nil"/>
            </w:tcBorders>
            <w:noWrap w:val="0"/>
            <w:vAlign w:val="center"/>
          </w:tcPr>
          <w:p w14:paraId="0A50F8F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100%</w:t>
            </w:r>
          </w:p>
        </w:tc>
        <w:tc>
          <w:tcPr>
            <w:tcW w:w="1693" w:type="dxa"/>
            <w:tcBorders>
              <w:top w:val="single" w:color="auto" w:sz="4" w:space="0"/>
              <w:left w:val="single" w:color="auto" w:sz="4" w:space="0"/>
              <w:bottom w:val="single" w:color="auto" w:sz="4" w:space="0"/>
              <w:right w:val="nil"/>
            </w:tcBorders>
            <w:noWrap w:val="0"/>
            <w:vAlign w:val="center"/>
          </w:tcPr>
          <w:p w14:paraId="7C4C5E40">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sz w:val="21"/>
                <w:szCs w:val="21"/>
                <w:highlight w:val="none"/>
                <w:vertAlign w:val="baseline"/>
                <w:lang w:val="en-US" w:eastAsia="zh-CN"/>
              </w:rPr>
              <w:t>扶财办预〔2024〕1号</w:t>
            </w:r>
          </w:p>
        </w:tc>
      </w:tr>
      <w:tr w14:paraId="5E87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64" w:type="dxa"/>
            <w:tcBorders>
              <w:left w:val="nil"/>
              <w:bottom w:val="single" w:color="auto" w:sz="4" w:space="0"/>
              <w:right w:val="single" w:color="auto" w:sz="4" w:space="0"/>
            </w:tcBorders>
            <w:noWrap w:val="0"/>
            <w:vAlign w:val="center"/>
          </w:tcPr>
          <w:p w14:paraId="309B167E">
            <w:pPr>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p>
        </w:tc>
        <w:tc>
          <w:tcPr>
            <w:tcW w:w="2111" w:type="dxa"/>
            <w:tcBorders>
              <w:top w:val="single" w:color="000000" w:sz="4" w:space="0"/>
              <w:left w:val="single" w:color="auto" w:sz="4" w:space="0"/>
              <w:bottom w:val="single" w:color="000000" w:sz="4" w:space="0"/>
              <w:right w:val="single" w:color="000000" w:sz="4" w:space="0"/>
            </w:tcBorders>
            <w:noWrap w:val="0"/>
            <w:vAlign w:val="center"/>
          </w:tcPr>
          <w:p w14:paraId="6262813F">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232" w:type="dxa"/>
            <w:tcBorders>
              <w:top w:val="single" w:color="auto" w:sz="4" w:space="0"/>
              <w:left w:val="single" w:color="000000" w:sz="4" w:space="0"/>
              <w:bottom w:val="single" w:color="auto" w:sz="4" w:space="0"/>
              <w:right w:val="single" w:color="auto" w:sz="4" w:space="0"/>
            </w:tcBorders>
            <w:noWrap w:val="0"/>
            <w:vAlign w:val="center"/>
          </w:tcPr>
          <w:p w14:paraId="2276871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264" w:type="dxa"/>
            <w:tcBorders>
              <w:top w:val="single" w:color="auto" w:sz="4" w:space="0"/>
              <w:left w:val="single" w:color="auto" w:sz="4" w:space="0"/>
              <w:bottom w:val="single" w:color="auto" w:sz="4" w:space="0"/>
              <w:right w:val="nil"/>
            </w:tcBorders>
            <w:noWrap w:val="0"/>
            <w:vAlign w:val="center"/>
          </w:tcPr>
          <w:p w14:paraId="5FD7342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093" w:type="dxa"/>
            <w:tcBorders>
              <w:left w:val="single" w:color="auto" w:sz="4" w:space="0"/>
              <w:bottom w:val="single" w:color="auto" w:sz="4" w:space="0"/>
              <w:right w:val="nil"/>
            </w:tcBorders>
            <w:noWrap w:val="0"/>
            <w:vAlign w:val="center"/>
          </w:tcPr>
          <w:p w14:paraId="175F3F2A">
            <w:pPr>
              <w:pStyle w:val="3"/>
              <w:spacing w:line="240" w:lineRule="auto"/>
              <w:jc w:val="center"/>
              <w:rPr>
                <w:rFonts w:hint="default" w:ascii="仿宋" w:hAnsi="仿宋" w:eastAsia="仿宋" w:cs="仿宋"/>
                <w:b/>
                <w:bCs/>
                <w:color w:val="auto"/>
                <w:kern w:val="2"/>
                <w:sz w:val="21"/>
                <w:szCs w:val="21"/>
                <w:highlight w:val="none"/>
                <w:vertAlign w:val="baseline"/>
                <w:lang w:val="en-US" w:eastAsia="zh-CN" w:bidi="ar-SA"/>
              </w:rPr>
            </w:pPr>
          </w:p>
        </w:tc>
        <w:tc>
          <w:tcPr>
            <w:tcW w:w="868" w:type="dxa"/>
            <w:tcBorders>
              <w:top w:val="single" w:color="auto" w:sz="4" w:space="0"/>
              <w:left w:val="single" w:color="auto" w:sz="4" w:space="0"/>
              <w:bottom w:val="single" w:color="auto" w:sz="4" w:space="0"/>
              <w:right w:val="nil"/>
            </w:tcBorders>
            <w:noWrap w:val="0"/>
            <w:vAlign w:val="center"/>
          </w:tcPr>
          <w:p w14:paraId="7A02C0E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100%</w:t>
            </w:r>
          </w:p>
        </w:tc>
        <w:tc>
          <w:tcPr>
            <w:tcW w:w="1693" w:type="dxa"/>
            <w:tcBorders>
              <w:top w:val="single" w:color="auto" w:sz="4" w:space="0"/>
              <w:left w:val="single" w:color="auto" w:sz="4" w:space="0"/>
              <w:bottom w:val="single" w:color="auto" w:sz="4" w:space="0"/>
              <w:right w:val="nil"/>
            </w:tcBorders>
            <w:noWrap w:val="0"/>
            <w:vAlign w:val="center"/>
          </w:tcPr>
          <w:p w14:paraId="2E47557F">
            <w:pPr>
              <w:pStyle w:val="3"/>
              <w:spacing w:line="240" w:lineRule="auto"/>
              <w:jc w:val="center"/>
              <w:rPr>
                <w:rFonts w:hint="default" w:ascii="仿宋" w:hAnsi="仿宋" w:eastAsia="仿宋" w:cs="仿宋"/>
                <w:b/>
                <w:bCs/>
                <w:color w:val="auto"/>
                <w:kern w:val="2"/>
                <w:sz w:val="21"/>
                <w:szCs w:val="21"/>
                <w:highlight w:val="none"/>
                <w:vertAlign w:val="baseline"/>
                <w:lang w:val="en-US" w:eastAsia="zh-CN" w:bidi="ar-SA"/>
              </w:rPr>
            </w:pPr>
          </w:p>
        </w:tc>
      </w:tr>
    </w:tbl>
    <w:p w14:paraId="23A6A271">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lang w:eastAsia="zh-CN"/>
        </w:rPr>
        <w:t>执行情况</w:t>
      </w:r>
    </w:p>
    <w:p w14:paraId="18657EC4">
      <w:pPr>
        <w:keepNext w:val="0"/>
        <w:keepLines w:val="0"/>
        <w:pageBreakBefore w:val="0"/>
        <w:widowControl w:val="0"/>
        <w:kinsoku/>
        <w:wordWrap/>
        <w:overflowPunct/>
        <w:topLinePunct w:val="0"/>
        <w:autoSpaceDE/>
        <w:autoSpaceDN/>
        <w:bidi w:val="0"/>
        <w:adjustRightInd/>
        <w:snapToGrid/>
        <w:spacing w:line="560" w:lineRule="exact"/>
        <w:ind w:left="0" w:leftChars="0" w:firstLine="622" w:firstLineChars="200"/>
        <w:textAlignment w:val="auto"/>
        <w:rPr>
          <w:rFonts w:hint="eastAsia" w:ascii="仿宋" w:hAnsi="仿宋" w:eastAsia="仿宋" w:cs="仿宋"/>
          <w:b/>
          <w:bCs/>
          <w:color w:val="auto"/>
          <w:kern w:val="2"/>
          <w:sz w:val="28"/>
          <w:szCs w:val="28"/>
          <w:highlight w:val="none"/>
          <w:lang w:val="en-US" w:eastAsia="zh-CN" w:bidi="ar-SA"/>
        </w:rPr>
      </w:pPr>
      <w:r>
        <w:rPr>
          <w:rFonts w:hint="default" w:ascii="仿宋_GB2312" w:hAnsi="仿宋_GB2312" w:eastAsia="仿宋_GB2312" w:cs="仿宋_GB2312"/>
          <w:color w:val="auto"/>
          <w:spacing w:val="-6"/>
          <w:kern w:val="2"/>
          <w:sz w:val="32"/>
          <w:szCs w:val="32"/>
          <w:highlight w:val="none"/>
          <w:lang w:val="en-US" w:eastAsia="zh-CN" w:bidi="ar-SA"/>
        </w:rPr>
        <w:t>截至</w:t>
      </w:r>
      <w:r>
        <w:rPr>
          <w:rFonts w:hint="eastAsia" w:ascii="仿宋_GB2312" w:hAnsi="仿宋_GB2312" w:eastAsia="仿宋_GB2312" w:cs="仿宋_GB2312"/>
          <w:color w:val="auto"/>
          <w:spacing w:val="-6"/>
          <w:kern w:val="2"/>
          <w:sz w:val="32"/>
          <w:szCs w:val="32"/>
          <w:highlight w:val="none"/>
          <w:lang w:val="en-US" w:eastAsia="zh-CN" w:bidi="ar-SA"/>
        </w:rPr>
        <w:t>2024年12月31日，项目共支出各项资金</w:t>
      </w:r>
      <w:r>
        <w:rPr>
          <w:rFonts w:hint="eastAsia" w:ascii="仿宋_GB2312" w:hAnsi="仿宋_GB2312" w:eastAsia="仿宋_GB2312" w:cs="仿宋_GB2312"/>
          <w:color w:val="auto"/>
          <w:kern w:val="2"/>
          <w:sz w:val="32"/>
          <w:szCs w:val="32"/>
          <w:highlight w:val="none"/>
          <w:lang w:val="en-US" w:eastAsia="zh-CN" w:bidi="ar-SA"/>
        </w:rPr>
        <w:t>360.00元</w:t>
      </w:r>
      <w:r>
        <w:rPr>
          <w:rFonts w:hint="eastAsia" w:ascii="仿宋_GB2312" w:hAnsi="仿宋_GB2312" w:eastAsia="仿宋_GB2312" w:cs="仿宋_GB2312"/>
          <w:color w:val="auto"/>
          <w:spacing w:val="-6"/>
          <w:kern w:val="2"/>
          <w:sz w:val="32"/>
          <w:szCs w:val="32"/>
          <w:highlight w:val="none"/>
          <w:lang w:val="en-US" w:eastAsia="zh-CN" w:bidi="ar-SA"/>
        </w:rPr>
        <w:t>,预算资金执行率为100%。详见表2。</w:t>
      </w:r>
    </w:p>
    <w:p w14:paraId="3CEB7783">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kern w:val="2"/>
          <w:sz w:val="28"/>
          <w:szCs w:val="28"/>
          <w:highlight w:val="none"/>
          <w:lang w:val="en-US" w:eastAsia="zh-CN" w:bidi="ar-SA"/>
        </w:rPr>
        <w:t xml:space="preserve">表2-1   项目预算资金执行情况表   </w:t>
      </w:r>
      <w:r>
        <w:rPr>
          <w:rFonts w:hint="eastAsia" w:ascii="仿宋" w:hAnsi="仿宋" w:eastAsia="仿宋" w:cs="仿宋"/>
          <w:color w:val="auto"/>
          <w:sz w:val="21"/>
          <w:szCs w:val="21"/>
          <w:highlight w:val="none"/>
          <w:lang w:val="en-US" w:eastAsia="zh-CN"/>
        </w:rPr>
        <w:t>单位：万元</w:t>
      </w:r>
    </w:p>
    <w:tbl>
      <w:tblPr>
        <w:tblStyle w:val="15"/>
        <w:tblpPr w:leftFromText="181" w:rightFromText="181" w:vertAnchor="text" w:horzAnchor="page" w:tblpX="1606" w:tblpY="114"/>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218"/>
        <w:gridCol w:w="1443"/>
        <w:gridCol w:w="1439"/>
        <w:gridCol w:w="1296"/>
        <w:gridCol w:w="1875"/>
      </w:tblGrid>
      <w:tr w14:paraId="66DF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69" w:type="dxa"/>
            <w:tcBorders>
              <w:left w:val="nil"/>
              <w:bottom w:val="single" w:color="auto" w:sz="4" w:space="0"/>
              <w:right w:val="single" w:color="auto" w:sz="4" w:space="0"/>
            </w:tcBorders>
            <w:shd w:val="clear" w:color="auto" w:fill="D7D7D7"/>
            <w:noWrap w:val="0"/>
            <w:vAlign w:val="center"/>
          </w:tcPr>
          <w:p w14:paraId="79888DF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序号</w:t>
            </w:r>
          </w:p>
        </w:tc>
        <w:tc>
          <w:tcPr>
            <w:tcW w:w="2218" w:type="dxa"/>
            <w:tcBorders>
              <w:left w:val="single" w:color="auto" w:sz="4" w:space="0"/>
              <w:bottom w:val="single" w:color="auto" w:sz="4" w:space="0"/>
              <w:right w:val="single" w:color="auto" w:sz="4" w:space="0"/>
            </w:tcBorders>
            <w:shd w:val="clear" w:color="auto" w:fill="D7D7D7"/>
            <w:noWrap w:val="0"/>
            <w:vAlign w:val="center"/>
          </w:tcPr>
          <w:p w14:paraId="1A1A20C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项目名称</w:t>
            </w:r>
          </w:p>
        </w:tc>
        <w:tc>
          <w:tcPr>
            <w:tcW w:w="1443" w:type="dxa"/>
            <w:tcBorders>
              <w:left w:val="single" w:color="auto" w:sz="4" w:space="0"/>
              <w:bottom w:val="single" w:color="auto" w:sz="4" w:space="0"/>
              <w:right w:val="single" w:color="auto" w:sz="4" w:space="0"/>
            </w:tcBorders>
            <w:shd w:val="clear" w:color="auto" w:fill="D7D7D7"/>
            <w:noWrap w:val="0"/>
            <w:vAlign w:val="center"/>
          </w:tcPr>
          <w:p w14:paraId="7CB4AF2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预算到位</w:t>
            </w:r>
          </w:p>
          <w:p w14:paraId="58816054">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金额</w:t>
            </w:r>
          </w:p>
        </w:tc>
        <w:tc>
          <w:tcPr>
            <w:tcW w:w="1439" w:type="dxa"/>
            <w:tcBorders>
              <w:left w:val="single" w:color="auto" w:sz="4" w:space="0"/>
              <w:bottom w:val="single" w:color="auto" w:sz="4" w:space="0"/>
              <w:right w:val="single" w:color="auto" w:sz="4" w:space="0"/>
            </w:tcBorders>
            <w:shd w:val="clear" w:color="auto" w:fill="D7D7D7"/>
            <w:noWrap w:val="0"/>
            <w:vAlign w:val="center"/>
          </w:tcPr>
          <w:p w14:paraId="591AE66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预算执行</w:t>
            </w:r>
          </w:p>
          <w:p w14:paraId="34AE846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资金</w:t>
            </w:r>
          </w:p>
        </w:tc>
        <w:tc>
          <w:tcPr>
            <w:tcW w:w="1296" w:type="dxa"/>
            <w:tcBorders>
              <w:left w:val="single" w:color="000000" w:sz="4" w:space="0"/>
              <w:bottom w:val="single" w:color="auto" w:sz="4" w:space="0"/>
              <w:right w:val="single" w:color="auto" w:sz="4" w:space="0"/>
            </w:tcBorders>
            <w:shd w:val="clear" w:color="auto" w:fill="D7D7D7"/>
            <w:noWrap w:val="0"/>
            <w:vAlign w:val="center"/>
          </w:tcPr>
          <w:p w14:paraId="7BDC80E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预算执行率</w:t>
            </w:r>
          </w:p>
        </w:tc>
        <w:tc>
          <w:tcPr>
            <w:tcW w:w="1875" w:type="dxa"/>
            <w:tcBorders>
              <w:left w:val="single" w:color="auto" w:sz="4" w:space="0"/>
              <w:bottom w:val="single" w:color="auto" w:sz="4" w:space="0"/>
              <w:right w:val="nil"/>
            </w:tcBorders>
            <w:shd w:val="clear" w:color="auto" w:fill="D7D7D7"/>
            <w:noWrap w:val="0"/>
            <w:vAlign w:val="center"/>
          </w:tcPr>
          <w:p w14:paraId="1D9C418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支出日期</w:t>
            </w:r>
          </w:p>
        </w:tc>
      </w:tr>
      <w:tr w14:paraId="49B1D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669" w:type="dxa"/>
            <w:tcBorders>
              <w:top w:val="single" w:color="auto" w:sz="4" w:space="0"/>
              <w:left w:val="nil"/>
              <w:bottom w:val="single" w:color="auto" w:sz="4" w:space="0"/>
              <w:right w:val="single" w:color="auto" w:sz="4" w:space="0"/>
            </w:tcBorders>
            <w:noWrap w:val="0"/>
            <w:vAlign w:val="center"/>
          </w:tcPr>
          <w:p w14:paraId="782BDA1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2218" w:type="dxa"/>
            <w:tcBorders>
              <w:top w:val="single" w:color="auto" w:sz="4" w:space="0"/>
              <w:left w:val="single" w:color="auto" w:sz="4" w:space="0"/>
              <w:bottom w:val="single" w:color="000000" w:sz="4" w:space="0"/>
              <w:right w:val="single" w:color="auto" w:sz="4" w:space="0"/>
            </w:tcBorders>
            <w:noWrap w:val="0"/>
            <w:vAlign w:val="center"/>
          </w:tcPr>
          <w:p w14:paraId="2D21EA2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sz w:val="21"/>
                <w:szCs w:val="21"/>
                <w:highlight w:val="none"/>
                <w:vertAlign w:val="baseline"/>
                <w:lang w:val="en-US" w:eastAsia="zh-CN"/>
              </w:rPr>
              <w:t>路灯电力线路红绿灯等设施运行维护</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6BFF39F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360.00</w:t>
            </w:r>
          </w:p>
        </w:tc>
        <w:tc>
          <w:tcPr>
            <w:tcW w:w="1439" w:type="dxa"/>
            <w:tcBorders>
              <w:top w:val="single" w:color="auto" w:sz="4" w:space="0"/>
              <w:left w:val="single" w:color="auto" w:sz="4" w:space="0"/>
              <w:right w:val="single" w:color="auto" w:sz="4" w:space="0"/>
            </w:tcBorders>
            <w:noWrap w:val="0"/>
            <w:vAlign w:val="center"/>
          </w:tcPr>
          <w:p w14:paraId="480484BC">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360.00</w:t>
            </w:r>
          </w:p>
        </w:tc>
        <w:tc>
          <w:tcPr>
            <w:tcW w:w="1296" w:type="dxa"/>
            <w:tcBorders>
              <w:top w:val="single" w:color="auto" w:sz="4" w:space="0"/>
              <w:left w:val="single" w:color="000000" w:sz="4" w:space="0"/>
              <w:right w:val="single" w:color="auto" w:sz="4" w:space="0"/>
            </w:tcBorders>
            <w:noWrap w:val="0"/>
            <w:vAlign w:val="center"/>
          </w:tcPr>
          <w:p w14:paraId="63ECDC81">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100%</w:t>
            </w:r>
          </w:p>
        </w:tc>
        <w:tc>
          <w:tcPr>
            <w:tcW w:w="1875" w:type="dxa"/>
            <w:tcBorders>
              <w:top w:val="single" w:color="auto" w:sz="4" w:space="0"/>
              <w:left w:val="single" w:color="auto" w:sz="4" w:space="0"/>
              <w:right w:val="nil"/>
            </w:tcBorders>
            <w:noWrap w:val="0"/>
            <w:vAlign w:val="center"/>
          </w:tcPr>
          <w:p w14:paraId="68DDBC05">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2024.05-2024.12</w:t>
            </w:r>
          </w:p>
        </w:tc>
      </w:tr>
      <w:tr w14:paraId="6F8A9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69" w:type="dxa"/>
            <w:tcBorders>
              <w:top w:val="single" w:color="auto" w:sz="4" w:space="0"/>
              <w:left w:val="nil"/>
              <w:bottom w:val="single" w:color="auto" w:sz="4" w:space="0"/>
              <w:right w:val="single" w:color="auto" w:sz="4" w:space="0"/>
            </w:tcBorders>
            <w:noWrap w:val="0"/>
            <w:vAlign w:val="center"/>
          </w:tcPr>
          <w:p w14:paraId="75CA984A">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c>
          <w:tcPr>
            <w:tcW w:w="2218" w:type="dxa"/>
            <w:tcBorders>
              <w:top w:val="single" w:color="000000" w:sz="4" w:space="0"/>
              <w:left w:val="single" w:color="auto" w:sz="4" w:space="0"/>
              <w:bottom w:val="single" w:color="000000" w:sz="4" w:space="0"/>
              <w:right w:val="single" w:color="auto" w:sz="4" w:space="0"/>
            </w:tcBorders>
            <w:noWrap w:val="0"/>
            <w:vAlign w:val="center"/>
          </w:tcPr>
          <w:p w14:paraId="2F6E346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4CB43F38">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439" w:type="dxa"/>
            <w:tcBorders>
              <w:left w:val="single" w:color="auto" w:sz="4" w:space="0"/>
              <w:bottom w:val="single" w:color="auto" w:sz="4" w:space="0"/>
              <w:right w:val="single" w:color="auto" w:sz="4" w:space="0"/>
            </w:tcBorders>
            <w:noWrap w:val="0"/>
            <w:vAlign w:val="center"/>
          </w:tcPr>
          <w:p w14:paraId="6BC2F60B">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296" w:type="dxa"/>
            <w:tcBorders>
              <w:left w:val="single" w:color="000000" w:sz="4" w:space="0"/>
              <w:bottom w:val="single" w:color="auto" w:sz="4" w:space="0"/>
              <w:right w:val="single" w:color="auto" w:sz="4" w:space="0"/>
            </w:tcBorders>
            <w:noWrap w:val="0"/>
            <w:vAlign w:val="center"/>
          </w:tcPr>
          <w:p w14:paraId="6C3843A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100%</w:t>
            </w:r>
          </w:p>
        </w:tc>
        <w:tc>
          <w:tcPr>
            <w:tcW w:w="1875" w:type="dxa"/>
            <w:tcBorders>
              <w:left w:val="single" w:color="auto" w:sz="4" w:space="0"/>
              <w:right w:val="nil"/>
            </w:tcBorders>
            <w:noWrap w:val="0"/>
            <w:vAlign w:val="center"/>
          </w:tcPr>
          <w:p w14:paraId="0EB38C3F">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r>
    </w:tbl>
    <w:p w14:paraId="6B5ECE8B">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 w:hAnsi="仿宋" w:eastAsia="仿宋" w:cs="仿宋"/>
          <w:b/>
          <w:bCs/>
          <w:color w:val="auto"/>
          <w:kern w:val="2"/>
          <w:sz w:val="28"/>
          <w:szCs w:val="28"/>
          <w:highlight w:val="none"/>
          <w:lang w:val="en-US" w:eastAsia="zh-CN" w:bidi="ar-SA"/>
        </w:rPr>
      </w:pPr>
    </w:p>
    <w:p w14:paraId="6C26182F">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 w:hAnsi="仿宋" w:eastAsia="仿宋" w:cs="仿宋"/>
          <w:b/>
          <w:bCs/>
          <w:color w:val="auto"/>
          <w:kern w:val="2"/>
          <w:sz w:val="28"/>
          <w:szCs w:val="28"/>
          <w:highlight w:val="none"/>
          <w:lang w:val="en-US" w:eastAsia="zh-CN" w:bidi="ar-SA"/>
        </w:rPr>
      </w:pPr>
    </w:p>
    <w:p w14:paraId="53BBCC69">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楷体" w:hAnsi="楷体" w:eastAsia="楷体" w:cs="楷体"/>
          <w:b/>
          <w:bCs/>
          <w:color w:val="auto"/>
          <w:sz w:val="32"/>
          <w:szCs w:val="32"/>
          <w:highlight w:val="none"/>
          <w:lang w:val="en-US" w:eastAsia="zh-CN"/>
        </w:rPr>
      </w:pPr>
      <w:r>
        <w:rPr>
          <w:rFonts w:hint="eastAsia" w:ascii="仿宋" w:hAnsi="仿宋" w:eastAsia="仿宋" w:cs="仿宋"/>
          <w:b/>
          <w:bCs/>
          <w:color w:val="auto"/>
          <w:kern w:val="2"/>
          <w:sz w:val="28"/>
          <w:szCs w:val="28"/>
          <w:highlight w:val="none"/>
          <w:lang w:val="en-US" w:eastAsia="zh-CN" w:bidi="ar-SA"/>
        </w:rPr>
        <w:t xml:space="preserve">表2-2   项目预算资金执行情况表   </w:t>
      </w:r>
      <w:r>
        <w:rPr>
          <w:rFonts w:hint="eastAsia" w:ascii="仿宋" w:hAnsi="仿宋" w:eastAsia="仿宋" w:cs="仿宋"/>
          <w:color w:val="auto"/>
          <w:sz w:val="21"/>
          <w:szCs w:val="21"/>
          <w:highlight w:val="none"/>
          <w:lang w:val="en-US" w:eastAsia="zh-CN"/>
        </w:rPr>
        <w:t>单位：万元</w:t>
      </w:r>
    </w:p>
    <w:tbl>
      <w:tblPr>
        <w:tblStyle w:val="15"/>
        <w:tblpPr w:leftFromText="181" w:rightFromText="181" w:vertAnchor="text" w:horzAnchor="page" w:tblpX="1606" w:tblpY="114"/>
        <w:tblOverlap w:val="never"/>
        <w:tblW w:w="8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4532"/>
        <w:gridCol w:w="1190"/>
        <w:gridCol w:w="1834"/>
        <w:gridCol w:w="673"/>
      </w:tblGrid>
      <w:tr w14:paraId="5DA17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90" w:type="dxa"/>
            <w:tcBorders>
              <w:left w:val="nil"/>
              <w:bottom w:val="single" w:color="auto" w:sz="4" w:space="0"/>
              <w:right w:val="single" w:color="auto" w:sz="4" w:space="0"/>
            </w:tcBorders>
            <w:shd w:val="clear" w:color="auto" w:fill="D7D7D7"/>
            <w:noWrap w:val="0"/>
            <w:vAlign w:val="center"/>
          </w:tcPr>
          <w:p w14:paraId="6BE881F6">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序号</w:t>
            </w:r>
          </w:p>
        </w:tc>
        <w:tc>
          <w:tcPr>
            <w:tcW w:w="4532" w:type="dxa"/>
            <w:tcBorders>
              <w:left w:val="single" w:color="auto" w:sz="4" w:space="0"/>
              <w:bottom w:val="single" w:color="auto" w:sz="4" w:space="0"/>
              <w:right w:val="single" w:color="auto" w:sz="4" w:space="0"/>
            </w:tcBorders>
            <w:shd w:val="clear" w:color="auto" w:fill="D7D7D7"/>
            <w:noWrap w:val="0"/>
            <w:vAlign w:val="center"/>
          </w:tcPr>
          <w:p w14:paraId="40C9AF2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收款单位</w:t>
            </w:r>
          </w:p>
        </w:tc>
        <w:tc>
          <w:tcPr>
            <w:tcW w:w="1190" w:type="dxa"/>
            <w:tcBorders>
              <w:left w:val="single" w:color="auto" w:sz="4" w:space="0"/>
              <w:bottom w:val="single" w:color="auto" w:sz="4" w:space="0"/>
              <w:right w:val="single" w:color="auto" w:sz="4" w:space="0"/>
            </w:tcBorders>
            <w:shd w:val="clear" w:color="auto" w:fill="D7D7D7"/>
            <w:noWrap w:val="0"/>
            <w:vAlign w:val="center"/>
          </w:tcPr>
          <w:p w14:paraId="4F4BAA8B">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金额</w:t>
            </w:r>
          </w:p>
        </w:tc>
        <w:tc>
          <w:tcPr>
            <w:tcW w:w="1834" w:type="dxa"/>
            <w:tcBorders>
              <w:left w:val="single" w:color="auto" w:sz="4" w:space="0"/>
              <w:bottom w:val="single" w:color="auto" w:sz="4" w:space="0"/>
              <w:right w:val="single" w:color="auto" w:sz="4" w:space="0"/>
            </w:tcBorders>
            <w:shd w:val="clear" w:color="auto" w:fill="D7D7D7"/>
            <w:noWrap w:val="0"/>
            <w:vAlign w:val="center"/>
          </w:tcPr>
          <w:p w14:paraId="7BCB2FE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支付日期</w:t>
            </w:r>
          </w:p>
        </w:tc>
        <w:tc>
          <w:tcPr>
            <w:tcW w:w="673" w:type="dxa"/>
            <w:tcBorders>
              <w:left w:val="single" w:color="auto" w:sz="4" w:space="0"/>
              <w:bottom w:val="single" w:color="auto" w:sz="4" w:space="0"/>
              <w:right w:val="single" w:color="auto" w:sz="4" w:space="0"/>
            </w:tcBorders>
            <w:shd w:val="clear" w:color="auto" w:fill="D7D7D7"/>
            <w:noWrap w:val="0"/>
            <w:vAlign w:val="center"/>
          </w:tcPr>
          <w:p w14:paraId="3DF3BB5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备注</w:t>
            </w:r>
          </w:p>
        </w:tc>
      </w:tr>
      <w:tr w14:paraId="1B8A5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690" w:type="dxa"/>
            <w:tcBorders>
              <w:top w:val="single" w:color="auto" w:sz="4" w:space="0"/>
              <w:left w:val="nil"/>
              <w:bottom w:val="single" w:color="auto" w:sz="4" w:space="0"/>
              <w:right w:val="single" w:color="auto" w:sz="4" w:space="0"/>
            </w:tcBorders>
            <w:noWrap w:val="0"/>
            <w:vAlign w:val="center"/>
          </w:tcPr>
          <w:p w14:paraId="0F63C77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一</w:t>
            </w:r>
          </w:p>
        </w:tc>
        <w:tc>
          <w:tcPr>
            <w:tcW w:w="4532" w:type="dxa"/>
            <w:tcBorders>
              <w:top w:val="single" w:color="auto" w:sz="4" w:space="0"/>
              <w:left w:val="single" w:color="auto" w:sz="4" w:space="0"/>
              <w:bottom w:val="single" w:color="auto" w:sz="4" w:space="0"/>
              <w:right w:val="single" w:color="auto" w:sz="4" w:space="0"/>
            </w:tcBorders>
            <w:noWrap w:val="0"/>
            <w:vAlign w:val="center"/>
          </w:tcPr>
          <w:p w14:paraId="2885806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sz w:val="21"/>
                <w:szCs w:val="21"/>
                <w:highlight w:val="none"/>
                <w:vertAlign w:val="baseline"/>
                <w:lang w:val="en-US" w:eastAsia="zh-CN"/>
              </w:rPr>
              <w:t>县住建局下拨到项目实施单位--扶风县绿盛城建有限责任公司</w:t>
            </w:r>
          </w:p>
        </w:tc>
        <w:tc>
          <w:tcPr>
            <w:tcW w:w="1190" w:type="dxa"/>
            <w:tcBorders>
              <w:top w:val="single" w:color="auto" w:sz="4" w:space="0"/>
              <w:left w:val="single" w:color="auto" w:sz="4" w:space="0"/>
              <w:bottom w:val="single" w:color="auto" w:sz="4" w:space="0"/>
              <w:right w:val="single" w:color="auto" w:sz="4" w:space="0"/>
            </w:tcBorders>
            <w:noWrap w:val="0"/>
            <w:vAlign w:val="center"/>
          </w:tcPr>
          <w:p w14:paraId="29A1D68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0EEB7AC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p>
        </w:tc>
        <w:tc>
          <w:tcPr>
            <w:tcW w:w="673" w:type="dxa"/>
            <w:tcBorders>
              <w:top w:val="single" w:color="auto" w:sz="4" w:space="0"/>
              <w:left w:val="single" w:color="auto" w:sz="4" w:space="0"/>
              <w:bottom w:val="single" w:color="auto" w:sz="4" w:space="0"/>
              <w:right w:val="single" w:color="auto" w:sz="4" w:space="0"/>
            </w:tcBorders>
            <w:noWrap w:val="0"/>
            <w:vAlign w:val="center"/>
          </w:tcPr>
          <w:p w14:paraId="40F010F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p>
        </w:tc>
      </w:tr>
      <w:tr w14:paraId="24DA8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90" w:type="dxa"/>
            <w:tcBorders>
              <w:top w:val="single" w:color="auto" w:sz="4" w:space="0"/>
              <w:left w:val="nil"/>
              <w:bottom w:val="single" w:color="auto" w:sz="4" w:space="0"/>
              <w:right w:val="single" w:color="auto" w:sz="4" w:space="0"/>
            </w:tcBorders>
            <w:noWrap w:val="0"/>
            <w:vAlign w:val="center"/>
          </w:tcPr>
          <w:p w14:paraId="6C2A244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4532" w:type="dxa"/>
            <w:tcBorders>
              <w:top w:val="single" w:color="auto" w:sz="4" w:space="0"/>
              <w:left w:val="single" w:color="auto" w:sz="4" w:space="0"/>
              <w:bottom w:val="single" w:color="auto" w:sz="4" w:space="0"/>
              <w:right w:val="single" w:color="auto" w:sz="4" w:space="0"/>
            </w:tcBorders>
            <w:noWrap w:val="0"/>
            <w:vAlign w:val="center"/>
          </w:tcPr>
          <w:p w14:paraId="1DF9BFF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sz w:val="21"/>
                <w:szCs w:val="21"/>
                <w:highlight w:val="none"/>
                <w:vertAlign w:val="baseline"/>
                <w:lang w:val="en-US" w:eastAsia="zh-CN"/>
              </w:rPr>
              <w:t>扶风县绿盛城建有限责任公司</w:t>
            </w:r>
          </w:p>
        </w:tc>
        <w:tc>
          <w:tcPr>
            <w:tcW w:w="1190" w:type="dxa"/>
            <w:tcBorders>
              <w:top w:val="single" w:color="auto" w:sz="4" w:space="0"/>
              <w:left w:val="single" w:color="auto" w:sz="4" w:space="0"/>
              <w:bottom w:val="single" w:color="auto" w:sz="4" w:space="0"/>
              <w:right w:val="single" w:color="auto" w:sz="4" w:space="0"/>
            </w:tcBorders>
            <w:noWrap w:val="0"/>
            <w:vAlign w:val="center"/>
          </w:tcPr>
          <w:p w14:paraId="6F475729">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40.00</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73CDB64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2024.05.10</w:t>
            </w:r>
          </w:p>
        </w:tc>
        <w:tc>
          <w:tcPr>
            <w:tcW w:w="673" w:type="dxa"/>
            <w:tcBorders>
              <w:top w:val="single" w:color="auto" w:sz="4" w:space="0"/>
              <w:left w:val="single" w:color="auto" w:sz="4" w:space="0"/>
              <w:bottom w:val="single" w:color="auto" w:sz="4" w:space="0"/>
              <w:right w:val="single" w:color="auto" w:sz="4" w:space="0"/>
            </w:tcBorders>
            <w:noWrap w:val="0"/>
            <w:vAlign w:val="center"/>
          </w:tcPr>
          <w:p w14:paraId="1610FCDD">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1E25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90" w:type="dxa"/>
            <w:tcBorders>
              <w:top w:val="single" w:color="auto" w:sz="4" w:space="0"/>
              <w:left w:val="nil"/>
              <w:bottom w:val="single" w:color="auto" w:sz="4" w:space="0"/>
              <w:right w:val="single" w:color="auto" w:sz="4" w:space="0"/>
            </w:tcBorders>
            <w:noWrap w:val="0"/>
            <w:vAlign w:val="center"/>
          </w:tcPr>
          <w:p w14:paraId="7BC7E91B">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4532" w:type="dxa"/>
            <w:tcBorders>
              <w:top w:val="single" w:color="auto" w:sz="4" w:space="0"/>
              <w:left w:val="single" w:color="auto" w:sz="4" w:space="0"/>
              <w:bottom w:val="single" w:color="auto" w:sz="4" w:space="0"/>
              <w:right w:val="single" w:color="auto" w:sz="4" w:space="0"/>
            </w:tcBorders>
            <w:noWrap w:val="0"/>
            <w:vAlign w:val="center"/>
          </w:tcPr>
          <w:p w14:paraId="6D232364">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sz w:val="21"/>
                <w:szCs w:val="21"/>
                <w:highlight w:val="none"/>
                <w:vertAlign w:val="baseline"/>
                <w:lang w:val="en-US" w:eastAsia="zh-CN"/>
              </w:rPr>
              <w:t>扶风县绿盛城建有限责任公司</w:t>
            </w:r>
          </w:p>
        </w:tc>
        <w:tc>
          <w:tcPr>
            <w:tcW w:w="1190" w:type="dxa"/>
            <w:tcBorders>
              <w:top w:val="single" w:color="auto" w:sz="4" w:space="0"/>
              <w:left w:val="single" w:color="auto" w:sz="4" w:space="0"/>
              <w:bottom w:val="single" w:color="auto" w:sz="4" w:space="0"/>
              <w:right w:val="single" w:color="auto" w:sz="4" w:space="0"/>
            </w:tcBorders>
            <w:noWrap w:val="0"/>
            <w:vAlign w:val="center"/>
          </w:tcPr>
          <w:p w14:paraId="1C8C7FF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140.00</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515202F3">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2024.06.28</w:t>
            </w:r>
          </w:p>
        </w:tc>
        <w:tc>
          <w:tcPr>
            <w:tcW w:w="673" w:type="dxa"/>
            <w:tcBorders>
              <w:top w:val="single" w:color="auto" w:sz="4" w:space="0"/>
              <w:left w:val="single" w:color="auto" w:sz="4" w:space="0"/>
              <w:bottom w:val="single" w:color="auto" w:sz="4" w:space="0"/>
              <w:right w:val="single" w:color="auto" w:sz="4" w:space="0"/>
            </w:tcBorders>
            <w:noWrap w:val="0"/>
            <w:vAlign w:val="center"/>
          </w:tcPr>
          <w:p w14:paraId="2BEE9C9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2E560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0" w:type="dxa"/>
            <w:tcBorders>
              <w:top w:val="single" w:color="auto" w:sz="4" w:space="0"/>
              <w:left w:val="nil"/>
              <w:bottom w:val="single" w:color="auto" w:sz="4" w:space="0"/>
              <w:right w:val="single" w:color="auto" w:sz="4" w:space="0"/>
            </w:tcBorders>
            <w:noWrap w:val="0"/>
            <w:vAlign w:val="center"/>
          </w:tcPr>
          <w:p w14:paraId="2A256670">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w:t>
            </w:r>
          </w:p>
        </w:tc>
        <w:tc>
          <w:tcPr>
            <w:tcW w:w="4532" w:type="dxa"/>
            <w:tcBorders>
              <w:top w:val="single" w:color="auto" w:sz="4" w:space="0"/>
              <w:left w:val="single" w:color="auto" w:sz="4" w:space="0"/>
              <w:bottom w:val="single" w:color="auto" w:sz="4" w:space="0"/>
              <w:right w:val="single" w:color="auto" w:sz="4" w:space="0"/>
            </w:tcBorders>
            <w:noWrap w:val="0"/>
            <w:vAlign w:val="center"/>
          </w:tcPr>
          <w:p w14:paraId="7D40681B">
            <w:pPr>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sz w:val="21"/>
                <w:szCs w:val="21"/>
                <w:highlight w:val="none"/>
                <w:vertAlign w:val="baseline"/>
                <w:lang w:val="en-US" w:eastAsia="zh-CN"/>
              </w:rPr>
              <w:t>扶风县绿盛城建有限责任公司</w:t>
            </w:r>
          </w:p>
        </w:tc>
        <w:tc>
          <w:tcPr>
            <w:tcW w:w="1190" w:type="dxa"/>
            <w:tcBorders>
              <w:top w:val="single" w:color="auto" w:sz="4" w:space="0"/>
              <w:left w:val="single" w:color="auto" w:sz="4" w:space="0"/>
              <w:bottom w:val="single" w:color="auto" w:sz="4" w:space="0"/>
              <w:right w:val="single" w:color="auto" w:sz="4" w:space="0"/>
            </w:tcBorders>
            <w:noWrap w:val="0"/>
            <w:vAlign w:val="center"/>
          </w:tcPr>
          <w:p w14:paraId="4E52DBFE">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180.00</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5AA2E6FD">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2024.10.16</w:t>
            </w:r>
          </w:p>
        </w:tc>
        <w:tc>
          <w:tcPr>
            <w:tcW w:w="673" w:type="dxa"/>
            <w:tcBorders>
              <w:top w:val="single" w:color="auto" w:sz="4" w:space="0"/>
              <w:left w:val="single" w:color="auto" w:sz="4" w:space="0"/>
              <w:bottom w:val="single" w:color="auto" w:sz="4" w:space="0"/>
              <w:right w:val="single" w:color="auto" w:sz="4" w:space="0"/>
            </w:tcBorders>
            <w:noWrap w:val="0"/>
            <w:vAlign w:val="center"/>
          </w:tcPr>
          <w:p w14:paraId="2C39F163">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3B8B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690" w:type="dxa"/>
            <w:tcBorders>
              <w:top w:val="single" w:color="auto" w:sz="4" w:space="0"/>
              <w:left w:val="nil"/>
              <w:bottom w:val="single" w:color="auto" w:sz="4" w:space="0"/>
              <w:right w:val="single" w:color="auto" w:sz="4" w:space="0"/>
            </w:tcBorders>
            <w:noWrap w:val="0"/>
            <w:vAlign w:val="center"/>
          </w:tcPr>
          <w:p w14:paraId="6AC74CB8">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二</w:t>
            </w:r>
          </w:p>
        </w:tc>
        <w:tc>
          <w:tcPr>
            <w:tcW w:w="4532" w:type="dxa"/>
            <w:tcBorders>
              <w:top w:val="single" w:color="auto" w:sz="4" w:space="0"/>
              <w:left w:val="single" w:color="auto" w:sz="4" w:space="0"/>
              <w:bottom w:val="single" w:color="auto" w:sz="4" w:space="0"/>
              <w:right w:val="single" w:color="auto" w:sz="4" w:space="0"/>
            </w:tcBorders>
            <w:noWrap w:val="0"/>
            <w:vAlign w:val="center"/>
          </w:tcPr>
          <w:p w14:paraId="293B8EA4">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sz w:val="21"/>
                <w:szCs w:val="21"/>
                <w:highlight w:val="none"/>
                <w:vertAlign w:val="baseline"/>
                <w:lang w:val="en-US" w:eastAsia="zh-CN"/>
              </w:rPr>
              <w:t>扶风县绿盛城建有限责任公司支付给项目运行维护单位--宝鸡先行电力（集团）有限责任公司秦宇电力工程分公司</w:t>
            </w:r>
          </w:p>
        </w:tc>
        <w:tc>
          <w:tcPr>
            <w:tcW w:w="1190" w:type="dxa"/>
            <w:tcBorders>
              <w:top w:val="single" w:color="auto" w:sz="4" w:space="0"/>
              <w:left w:val="single" w:color="auto" w:sz="4" w:space="0"/>
              <w:bottom w:val="single" w:color="auto" w:sz="4" w:space="0"/>
              <w:right w:val="single" w:color="auto" w:sz="4" w:space="0"/>
            </w:tcBorders>
            <w:noWrap w:val="0"/>
            <w:vAlign w:val="center"/>
          </w:tcPr>
          <w:p w14:paraId="6AB46AE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360.00</w:t>
            </w:r>
          </w:p>
        </w:tc>
        <w:tc>
          <w:tcPr>
            <w:tcW w:w="1834" w:type="dxa"/>
            <w:tcBorders>
              <w:top w:val="single" w:color="auto" w:sz="4" w:space="0"/>
              <w:left w:val="single" w:color="auto" w:sz="4" w:space="0"/>
              <w:bottom w:val="single" w:color="auto" w:sz="4" w:space="0"/>
              <w:right w:val="single" w:color="auto" w:sz="4" w:space="0"/>
            </w:tcBorders>
            <w:noWrap w:val="0"/>
            <w:vAlign w:val="center"/>
          </w:tcPr>
          <w:p w14:paraId="2C52F927">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2024.05-2024.12</w:t>
            </w:r>
          </w:p>
        </w:tc>
        <w:tc>
          <w:tcPr>
            <w:tcW w:w="673" w:type="dxa"/>
            <w:tcBorders>
              <w:top w:val="single" w:color="auto" w:sz="4" w:space="0"/>
              <w:left w:val="single" w:color="auto" w:sz="4" w:space="0"/>
              <w:bottom w:val="single" w:color="auto" w:sz="4" w:space="0"/>
              <w:right w:val="single" w:color="auto" w:sz="4" w:space="0"/>
            </w:tcBorders>
            <w:noWrap w:val="0"/>
            <w:vAlign w:val="center"/>
          </w:tcPr>
          <w:p w14:paraId="4AC09612">
            <w:pPr>
              <w:pStyle w:val="3"/>
              <w:keepNext w:val="0"/>
              <w:keepLines w:val="0"/>
              <w:pageBreakBefore w:val="0"/>
              <w:kinsoku/>
              <w:wordWrap/>
              <w:overflowPunct/>
              <w:topLinePunct w:val="0"/>
              <w:autoSpaceDE/>
              <w:autoSpaceDN/>
              <w:bidi w:val="0"/>
              <w:adjustRightInd/>
              <w:snapToGrid/>
              <w:spacing w:line="240" w:lineRule="exact"/>
              <w:jc w:val="center"/>
              <w:rPr>
                <w:rFonts w:hint="default" w:ascii="仿宋" w:hAnsi="仿宋" w:eastAsia="仿宋" w:cs="仿宋"/>
                <w:b w:val="0"/>
                <w:bCs w:val="0"/>
                <w:color w:val="auto"/>
                <w:kern w:val="2"/>
                <w:sz w:val="21"/>
                <w:szCs w:val="21"/>
                <w:highlight w:val="none"/>
                <w:vertAlign w:val="baseline"/>
                <w:lang w:val="en-US" w:eastAsia="zh-CN" w:bidi="ar-SA"/>
              </w:rPr>
            </w:pPr>
          </w:p>
        </w:tc>
      </w:tr>
    </w:tbl>
    <w:p w14:paraId="54AF3561">
      <w:pPr>
        <w:keepNext w:val="0"/>
        <w:keepLines w:val="0"/>
        <w:pageBreakBefore w:val="0"/>
        <w:widowControl w:val="0"/>
        <w:kinsoku/>
        <w:wordWrap/>
        <w:overflowPunct/>
        <w:topLinePunct w:val="0"/>
        <w:autoSpaceDE/>
        <w:autoSpaceDN/>
        <w:bidi w:val="0"/>
        <w:adjustRightInd/>
        <w:snapToGrid/>
        <w:spacing w:before="165" w:beforeLines="50" w:line="560" w:lineRule="exact"/>
        <w:jc w:val="center"/>
        <w:textAlignment w:val="auto"/>
        <w:rPr>
          <w:rFonts w:hint="eastAsia" w:ascii="楷体" w:hAnsi="楷体" w:eastAsia="楷体" w:cs="楷体"/>
          <w:b/>
          <w:bCs/>
          <w:color w:val="auto"/>
          <w:sz w:val="32"/>
          <w:szCs w:val="32"/>
          <w:highlight w:val="none"/>
          <w:lang w:val="en-US" w:eastAsia="zh-CN"/>
        </w:rPr>
      </w:pPr>
      <w:r>
        <w:rPr>
          <w:rFonts w:hint="eastAsia" w:ascii="仿宋" w:hAnsi="仿宋" w:eastAsia="仿宋" w:cs="仿宋"/>
          <w:b/>
          <w:bCs/>
          <w:color w:val="auto"/>
          <w:kern w:val="2"/>
          <w:sz w:val="28"/>
          <w:szCs w:val="28"/>
          <w:highlight w:val="none"/>
          <w:lang w:val="en-US" w:eastAsia="zh-CN" w:bidi="ar-SA"/>
        </w:rPr>
        <w:t xml:space="preserve">表2-3   项目预算资金执行情况明细表   </w:t>
      </w:r>
      <w:r>
        <w:rPr>
          <w:rFonts w:hint="eastAsia" w:ascii="仿宋" w:hAnsi="仿宋" w:eastAsia="仿宋" w:cs="仿宋"/>
          <w:color w:val="auto"/>
          <w:sz w:val="21"/>
          <w:szCs w:val="21"/>
          <w:highlight w:val="none"/>
          <w:lang w:val="en-US" w:eastAsia="zh-CN"/>
        </w:rPr>
        <w:t>单位：万元</w:t>
      </w:r>
    </w:p>
    <w:tbl>
      <w:tblPr>
        <w:tblStyle w:val="14"/>
        <w:tblW w:w="8983" w:type="dxa"/>
        <w:tblInd w:w="-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198"/>
        <w:gridCol w:w="1101"/>
        <w:gridCol w:w="1474"/>
        <w:gridCol w:w="3446"/>
        <w:gridCol w:w="1089"/>
      </w:tblGrid>
      <w:tr w14:paraId="7347F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0" w:hRule="atLeast"/>
        </w:trPr>
        <w:tc>
          <w:tcPr>
            <w:tcW w:w="675" w:type="dxa"/>
            <w:tcBorders>
              <w:top w:val="single" w:color="000000" w:sz="4" w:space="0"/>
              <w:left w:val="nil"/>
              <w:bottom w:val="single" w:color="000000" w:sz="4" w:space="0"/>
              <w:right w:val="single" w:color="000000" w:sz="4" w:space="0"/>
            </w:tcBorders>
            <w:shd w:val="clear" w:color="auto" w:fill="D7D7D7"/>
            <w:vAlign w:val="center"/>
          </w:tcPr>
          <w:p w14:paraId="2371BF4D">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eastAsia="zh-CN"/>
              </w:rPr>
            </w:pPr>
            <w:r>
              <w:rPr>
                <w:rFonts w:hint="eastAsia" w:ascii="仿宋" w:hAnsi="仿宋" w:eastAsia="仿宋" w:cs="仿宋"/>
                <w:b/>
                <w:bCs/>
                <w:i w:val="0"/>
                <w:iCs w:val="0"/>
                <w:color w:val="auto"/>
                <w:sz w:val="21"/>
                <w:szCs w:val="21"/>
                <w:u w:val="none"/>
                <w:lang w:val="en-US" w:eastAsia="zh-CN"/>
              </w:rPr>
              <w:t>序号</w:t>
            </w:r>
          </w:p>
        </w:tc>
        <w:tc>
          <w:tcPr>
            <w:tcW w:w="1198"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5EC1D062">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lang w:val="en-US" w:eastAsia="zh-CN"/>
              </w:rPr>
            </w:pPr>
            <w:r>
              <w:rPr>
                <w:rFonts w:hint="eastAsia" w:ascii="仿宋" w:hAnsi="仿宋" w:eastAsia="仿宋" w:cs="仿宋"/>
                <w:b/>
                <w:bCs/>
                <w:i w:val="0"/>
                <w:iCs w:val="0"/>
                <w:color w:val="auto"/>
                <w:kern w:val="0"/>
                <w:sz w:val="21"/>
                <w:szCs w:val="21"/>
                <w:u w:val="none"/>
                <w:lang w:val="en-US" w:eastAsia="zh-CN" w:bidi="ar"/>
              </w:rPr>
              <w:t>项目名称</w:t>
            </w:r>
          </w:p>
        </w:tc>
        <w:tc>
          <w:tcPr>
            <w:tcW w:w="1101"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4C36300D">
            <w:pPr>
              <w:keepNext w:val="0"/>
              <w:keepLines w:val="0"/>
              <w:widowControl/>
              <w:suppressLineNumbers w:val="0"/>
              <w:jc w:val="center"/>
              <w:textAlignment w:val="center"/>
              <w:rPr>
                <w:rFonts w:hint="eastAsia" w:ascii="仿宋" w:hAnsi="仿宋" w:eastAsia="仿宋" w:cs="仿宋"/>
                <w:b/>
                <w:bCs/>
                <w:i w:val="0"/>
                <w:iCs w:val="0"/>
                <w:color w:val="auto"/>
                <w:kern w:val="0"/>
                <w:sz w:val="21"/>
                <w:szCs w:val="21"/>
                <w:u w:val="none"/>
                <w:lang w:val="en-US" w:eastAsia="zh-CN" w:bidi="ar"/>
              </w:rPr>
            </w:pPr>
            <w:r>
              <w:rPr>
                <w:rFonts w:hint="eastAsia" w:ascii="仿宋" w:hAnsi="仿宋" w:eastAsia="仿宋" w:cs="仿宋"/>
                <w:b/>
                <w:bCs/>
                <w:i w:val="0"/>
                <w:iCs w:val="0"/>
                <w:color w:val="auto"/>
                <w:kern w:val="0"/>
                <w:sz w:val="21"/>
                <w:szCs w:val="21"/>
                <w:u w:val="none"/>
                <w:lang w:val="en-US" w:eastAsia="zh-CN" w:bidi="ar"/>
              </w:rPr>
              <w:t>执行金额</w:t>
            </w:r>
          </w:p>
        </w:tc>
        <w:tc>
          <w:tcPr>
            <w:tcW w:w="1474"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138E6046">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执行时间</w:t>
            </w:r>
          </w:p>
        </w:tc>
        <w:tc>
          <w:tcPr>
            <w:tcW w:w="3446" w:type="dxa"/>
            <w:tcBorders>
              <w:top w:val="single" w:color="000000" w:sz="4" w:space="0"/>
              <w:left w:val="single" w:color="000000" w:sz="4" w:space="0"/>
              <w:bottom w:val="single" w:color="000000" w:sz="4" w:space="0"/>
              <w:right w:val="single" w:color="000000" w:sz="4" w:space="0"/>
            </w:tcBorders>
            <w:shd w:val="clear" w:color="auto" w:fill="D7D7D7"/>
            <w:vAlign w:val="center"/>
          </w:tcPr>
          <w:p w14:paraId="21BDAA75">
            <w:pPr>
              <w:keepNext w:val="0"/>
              <w:keepLines w:val="0"/>
              <w:widowControl/>
              <w:suppressLineNumbers w:val="0"/>
              <w:jc w:val="center"/>
              <w:textAlignment w:val="center"/>
              <w:rPr>
                <w:rFonts w:hint="eastAsia" w:ascii="仿宋" w:hAnsi="仿宋" w:eastAsia="仿宋" w:cs="仿宋"/>
                <w:b/>
                <w:bCs/>
                <w:i w:val="0"/>
                <w:iCs w:val="0"/>
                <w:color w:val="auto"/>
                <w:sz w:val="21"/>
                <w:szCs w:val="21"/>
                <w:u w:val="none"/>
              </w:rPr>
            </w:pPr>
            <w:r>
              <w:rPr>
                <w:rFonts w:hint="eastAsia" w:ascii="仿宋" w:hAnsi="仿宋" w:eastAsia="仿宋" w:cs="仿宋"/>
                <w:b/>
                <w:bCs/>
                <w:i w:val="0"/>
                <w:iCs w:val="0"/>
                <w:color w:val="auto"/>
                <w:kern w:val="0"/>
                <w:sz w:val="21"/>
                <w:szCs w:val="21"/>
                <w:u w:val="none"/>
                <w:lang w:val="en-US" w:eastAsia="zh-CN" w:bidi="ar"/>
              </w:rPr>
              <w:t>执行内容</w:t>
            </w:r>
          </w:p>
        </w:tc>
        <w:tc>
          <w:tcPr>
            <w:tcW w:w="1089" w:type="dxa"/>
            <w:tcBorders>
              <w:top w:val="single" w:color="000000" w:sz="4" w:space="0"/>
              <w:left w:val="single" w:color="000000" w:sz="4" w:space="0"/>
              <w:bottom w:val="single" w:color="000000" w:sz="4" w:space="0"/>
              <w:right w:val="nil"/>
            </w:tcBorders>
            <w:shd w:val="clear" w:color="auto" w:fill="D7D7D7"/>
            <w:vAlign w:val="center"/>
          </w:tcPr>
          <w:p w14:paraId="375EDF5F">
            <w:pPr>
              <w:keepNext w:val="0"/>
              <w:keepLines w:val="0"/>
              <w:widowControl/>
              <w:suppressLineNumbers w:val="0"/>
              <w:jc w:val="center"/>
              <w:textAlignment w:val="center"/>
              <w:rPr>
                <w:rFonts w:hint="default" w:ascii="仿宋" w:hAnsi="仿宋" w:eastAsia="仿宋" w:cs="仿宋"/>
                <w:b/>
                <w:bCs/>
                <w:i w:val="0"/>
                <w:iCs w:val="0"/>
                <w:color w:val="auto"/>
                <w:sz w:val="21"/>
                <w:szCs w:val="21"/>
                <w:u w:val="none"/>
                <w:lang w:val="en-US"/>
              </w:rPr>
            </w:pPr>
            <w:r>
              <w:rPr>
                <w:rFonts w:hint="eastAsia" w:ascii="仿宋" w:hAnsi="仿宋" w:eastAsia="仿宋" w:cs="仿宋"/>
                <w:b/>
                <w:bCs/>
                <w:i w:val="0"/>
                <w:iCs w:val="0"/>
                <w:color w:val="auto"/>
                <w:kern w:val="0"/>
                <w:sz w:val="21"/>
                <w:szCs w:val="21"/>
                <w:u w:val="none"/>
                <w:lang w:val="en-US" w:eastAsia="zh-CN" w:bidi="ar"/>
              </w:rPr>
              <w:t>收款单位</w:t>
            </w:r>
          </w:p>
        </w:tc>
      </w:tr>
      <w:tr w14:paraId="22335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2BB02FA2">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1</w:t>
            </w:r>
          </w:p>
        </w:tc>
        <w:tc>
          <w:tcPr>
            <w:tcW w:w="1198" w:type="dxa"/>
            <w:vMerge w:val="restart"/>
            <w:tcBorders>
              <w:top w:val="single" w:color="000000" w:sz="4" w:space="0"/>
              <w:left w:val="single" w:color="000000" w:sz="4" w:space="0"/>
              <w:right w:val="single" w:color="000000" w:sz="4" w:space="0"/>
            </w:tcBorders>
            <w:shd w:val="clear" w:color="auto" w:fill="auto"/>
            <w:noWrap/>
            <w:vAlign w:val="center"/>
          </w:tcPr>
          <w:p w14:paraId="614093DA">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路灯电力线路红绿灯等设施运行维护项目</w:t>
            </w: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8D23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40.00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39BEA">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2024.05.14</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C115">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支付2024年上半年县城新区及绛帐镇路灯电费</w:t>
            </w:r>
          </w:p>
        </w:tc>
        <w:tc>
          <w:tcPr>
            <w:tcW w:w="1089" w:type="dxa"/>
            <w:vMerge w:val="restart"/>
            <w:tcBorders>
              <w:top w:val="single" w:color="000000" w:sz="4" w:space="0"/>
              <w:left w:val="single" w:color="000000" w:sz="4" w:space="0"/>
              <w:bottom w:val="single" w:color="000000" w:sz="4" w:space="0"/>
              <w:right w:val="nil"/>
            </w:tcBorders>
            <w:shd w:val="clear" w:color="auto" w:fill="auto"/>
            <w:noWrap/>
            <w:vAlign w:val="center"/>
          </w:tcPr>
          <w:p w14:paraId="153BB211">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宝鸡先行电力（集团）有限责任公司秦宇电力工程分公司</w:t>
            </w:r>
          </w:p>
        </w:tc>
      </w:tr>
      <w:tr w14:paraId="1D89A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5DD5EA15">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w:t>
            </w:r>
          </w:p>
        </w:tc>
        <w:tc>
          <w:tcPr>
            <w:tcW w:w="1198" w:type="dxa"/>
            <w:vMerge w:val="continue"/>
            <w:tcBorders>
              <w:left w:val="single" w:color="000000" w:sz="4" w:space="0"/>
              <w:right w:val="single" w:color="000000" w:sz="4" w:space="0"/>
            </w:tcBorders>
            <w:shd w:val="clear" w:color="auto" w:fill="auto"/>
            <w:noWrap/>
            <w:vAlign w:val="center"/>
          </w:tcPr>
          <w:p w14:paraId="1C8A6405">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9CF8">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80.00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2BE6D">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2024.06.28</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5875">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路灯电费</w:t>
            </w:r>
          </w:p>
        </w:tc>
        <w:tc>
          <w:tcPr>
            <w:tcW w:w="1089" w:type="dxa"/>
            <w:vMerge w:val="continue"/>
            <w:tcBorders>
              <w:top w:val="single" w:color="000000" w:sz="4" w:space="0"/>
              <w:left w:val="single" w:color="000000" w:sz="4" w:space="0"/>
              <w:bottom w:val="single" w:color="000000" w:sz="4" w:space="0"/>
              <w:right w:val="nil"/>
            </w:tcBorders>
            <w:shd w:val="clear" w:color="auto" w:fill="auto"/>
            <w:noWrap/>
            <w:vAlign w:val="center"/>
          </w:tcPr>
          <w:p w14:paraId="7BB847F3">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2402A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6B5037B7">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3</w:t>
            </w:r>
          </w:p>
        </w:tc>
        <w:tc>
          <w:tcPr>
            <w:tcW w:w="1198" w:type="dxa"/>
            <w:vMerge w:val="continue"/>
            <w:tcBorders>
              <w:left w:val="single" w:color="000000" w:sz="4" w:space="0"/>
              <w:right w:val="single" w:color="000000" w:sz="4" w:space="0"/>
            </w:tcBorders>
            <w:shd w:val="clear" w:color="auto" w:fill="auto"/>
            <w:noWrap/>
            <w:vAlign w:val="center"/>
          </w:tcPr>
          <w:p w14:paraId="79A3399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51D6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60.00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DB9B9">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2024.11.12</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2247">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县城新老区及绛帐镇区路灯维护费</w:t>
            </w:r>
          </w:p>
        </w:tc>
        <w:tc>
          <w:tcPr>
            <w:tcW w:w="1089" w:type="dxa"/>
            <w:vMerge w:val="continue"/>
            <w:tcBorders>
              <w:top w:val="single" w:color="000000" w:sz="4" w:space="0"/>
              <w:left w:val="single" w:color="000000" w:sz="4" w:space="0"/>
              <w:bottom w:val="single" w:color="000000" w:sz="4" w:space="0"/>
              <w:right w:val="nil"/>
            </w:tcBorders>
            <w:shd w:val="clear" w:color="auto" w:fill="auto"/>
            <w:noWrap/>
            <w:vAlign w:val="center"/>
          </w:tcPr>
          <w:p w14:paraId="5ABD2415">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6C69E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77B86DA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4</w:t>
            </w:r>
          </w:p>
        </w:tc>
        <w:tc>
          <w:tcPr>
            <w:tcW w:w="1198" w:type="dxa"/>
            <w:vMerge w:val="continue"/>
            <w:tcBorders>
              <w:left w:val="single" w:color="000000" w:sz="4" w:space="0"/>
              <w:right w:val="single" w:color="000000" w:sz="4" w:space="0"/>
            </w:tcBorders>
            <w:shd w:val="clear" w:color="auto" w:fill="auto"/>
            <w:noWrap/>
            <w:vAlign w:val="center"/>
          </w:tcPr>
          <w:p w14:paraId="4702BED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CCE13">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728F">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2024.11.27</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AF3F">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县城新区及绛帐镇路灯电费</w:t>
            </w:r>
          </w:p>
        </w:tc>
        <w:tc>
          <w:tcPr>
            <w:tcW w:w="1089" w:type="dxa"/>
            <w:vMerge w:val="continue"/>
            <w:tcBorders>
              <w:top w:val="single" w:color="000000" w:sz="4" w:space="0"/>
              <w:left w:val="single" w:color="000000" w:sz="4" w:space="0"/>
              <w:bottom w:val="single" w:color="000000" w:sz="4" w:space="0"/>
              <w:right w:val="nil"/>
            </w:tcBorders>
            <w:shd w:val="clear" w:color="auto" w:fill="auto"/>
            <w:noWrap/>
            <w:vAlign w:val="center"/>
          </w:tcPr>
          <w:p w14:paraId="3E056D0D">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35B55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41D7F456">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5</w:t>
            </w:r>
          </w:p>
        </w:tc>
        <w:tc>
          <w:tcPr>
            <w:tcW w:w="1198" w:type="dxa"/>
            <w:vMerge w:val="continue"/>
            <w:tcBorders>
              <w:left w:val="single" w:color="000000" w:sz="4" w:space="0"/>
              <w:right w:val="single" w:color="000000" w:sz="4" w:space="0"/>
            </w:tcBorders>
            <w:shd w:val="clear" w:color="auto" w:fill="auto"/>
            <w:noWrap/>
            <w:vAlign w:val="center"/>
          </w:tcPr>
          <w:p w14:paraId="6A69D6C4">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E64B">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70.00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F828">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2024.12.13</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95A3">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2024年下半年路灯电费</w:t>
            </w:r>
          </w:p>
        </w:tc>
        <w:tc>
          <w:tcPr>
            <w:tcW w:w="1089" w:type="dxa"/>
            <w:vMerge w:val="continue"/>
            <w:tcBorders>
              <w:top w:val="single" w:color="000000" w:sz="4" w:space="0"/>
              <w:left w:val="single" w:color="000000" w:sz="4" w:space="0"/>
              <w:bottom w:val="single" w:color="000000" w:sz="4" w:space="0"/>
              <w:right w:val="nil"/>
            </w:tcBorders>
            <w:shd w:val="clear" w:color="auto" w:fill="auto"/>
            <w:noWrap/>
            <w:vAlign w:val="center"/>
          </w:tcPr>
          <w:p w14:paraId="16E8DEFA">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4E637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76672973">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6</w:t>
            </w:r>
          </w:p>
        </w:tc>
        <w:tc>
          <w:tcPr>
            <w:tcW w:w="1198" w:type="dxa"/>
            <w:vMerge w:val="continue"/>
            <w:tcBorders>
              <w:left w:val="single" w:color="000000" w:sz="4" w:space="0"/>
              <w:bottom w:val="single" w:color="000000" w:sz="4" w:space="0"/>
              <w:right w:val="single" w:color="000000" w:sz="4" w:space="0"/>
            </w:tcBorders>
            <w:shd w:val="clear" w:color="auto" w:fill="auto"/>
            <w:noWrap/>
            <w:vAlign w:val="center"/>
          </w:tcPr>
          <w:p w14:paraId="479134CE">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3672D">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90.00</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BB696">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2024.12.13</w:t>
            </w:r>
          </w:p>
        </w:tc>
        <w:tc>
          <w:tcPr>
            <w:tcW w:w="34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8358">
            <w:pPr>
              <w:keepNext w:val="0"/>
              <w:keepLines w:val="0"/>
              <w:pageBreakBefore w:val="0"/>
              <w:kinsoku/>
              <w:wordWrap/>
              <w:overflowPunct/>
              <w:topLinePunct w:val="0"/>
              <w:autoSpaceDE/>
              <w:autoSpaceDN/>
              <w:bidi w:val="0"/>
              <w:adjustRightInd/>
              <w:snapToGrid/>
              <w:spacing w:line="260" w:lineRule="exact"/>
              <w:jc w:val="center"/>
              <w:rPr>
                <w:rFonts w:hint="default" w:ascii="仿宋" w:hAnsi="仿宋" w:eastAsia="仿宋" w:cs="仿宋"/>
                <w:b w:val="0"/>
                <w:bCs w:val="0"/>
                <w:color w:val="auto"/>
                <w:kern w:val="2"/>
                <w:sz w:val="21"/>
                <w:szCs w:val="21"/>
                <w:highlight w:val="none"/>
                <w:vertAlign w:val="baseline"/>
                <w:lang w:val="en-US" w:eastAsia="zh-CN" w:bidi="ar-SA"/>
              </w:rPr>
            </w:pPr>
            <w:r>
              <w:rPr>
                <w:rFonts w:hint="eastAsia" w:ascii="仿宋" w:hAnsi="仿宋" w:eastAsia="仿宋" w:cs="仿宋"/>
                <w:b w:val="0"/>
                <w:bCs w:val="0"/>
                <w:color w:val="auto"/>
                <w:kern w:val="2"/>
                <w:sz w:val="21"/>
                <w:szCs w:val="21"/>
                <w:highlight w:val="none"/>
                <w:vertAlign w:val="baseline"/>
                <w:lang w:val="en-US" w:eastAsia="zh-CN" w:bidi="ar-SA"/>
              </w:rPr>
              <w:t>县城新老区及绛帐镇区路灯维护费</w:t>
            </w:r>
          </w:p>
        </w:tc>
        <w:tc>
          <w:tcPr>
            <w:tcW w:w="1089" w:type="dxa"/>
            <w:vMerge w:val="continue"/>
            <w:tcBorders>
              <w:top w:val="single" w:color="000000" w:sz="4" w:space="0"/>
              <w:left w:val="single" w:color="000000" w:sz="4" w:space="0"/>
              <w:bottom w:val="single" w:color="000000" w:sz="4" w:space="0"/>
              <w:right w:val="nil"/>
            </w:tcBorders>
            <w:shd w:val="clear" w:color="auto" w:fill="auto"/>
            <w:noWrap/>
            <w:vAlign w:val="center"/>
          </w:tcPr>
          <w:p w14:paraId="0B86E447">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r w14:paraId="2F150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675" w:type="dxa"/>
            <w:tcBorders>
              <w:top w:val="single" w:color="000000" w:sz="4" w:space="0"/>
              <w:left w:val="nil"/>
              <w:bottom w:val="single" w:color="000000" w:sz="4" w:space="0"/>
              <w:right w:val="single" w:color="000000" w:sz="4" w:space="0"/>
            </w:tcBorders>
            <w:shd w:val="clear" w:color="auto" w:fill="auto"/>
            <w:noWrap/>
            <w:vAlign w:val="center"/>
          </w:tcPr>
          <w:p w14:paraId="6B1C76F4">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合计</w:t>
            </w:r>
          </w:p>
        </w:tc>
        <w:tc>
          <w:tcPr>
            <w:tcW w:w="11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C57D">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bCs/>
                <w:color w:val="auto"/>
                <w:kern w:val="2"/>
                <w:sz w:val="21"/>
                <w:szCs w:val="21"/>
                <w:highlight w:val="none"/>
                <w:vertAlign w:val="baseline"/>
                <w:lang w:val="en-US" w:eastAsia="zh-CN" w:bidi="ar-SA"/>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D5141">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bCs/>
                <w:color w:val="auto"/>
                <w:kern w:val="2"/>
                <w:sz w:val="21"/>
                <w:szCs w:val="21"/>
                <w:highlight w:val="none"/>
                <w:vertAlign w:val="baseline"/>
                <w:lang w:val="en-US" w:eastAsia="zh-CN" w:bidi="ar-SA"/>
              </w:rPr>
            </w:pPr>
            <w:r>
              <w:rPr>
                <w:rFonts w:hint="eastAsia" w:ascii="仿宋" w:hAnsi="仿宋" w:eastAsia="仿宋" w:cs="仿宋"/>
                <w:b/>
                <w:bCs/>
                <w:color w:val="auto"/>
                <w:kern w:val="2"/>
                <w:sz w:val="21"/>
                <w:szCs w:val="21"/>
                <w:highlight w:val="none"/>
                <w:vertAlign w:val="baseline"/>
                <w:lang w:val="en-US" w:eastAsia="zh-CN" w:bidi="ar-SA"/>
              </w:rPr>
              <w:t xml:space="preserve">360.00 </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330B9">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3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4B033">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c>
          <w:tcPr>
            <w:tcW w:w="1089" w:type="dxa"/>
            <w:tcBorders>
              <w:top w:val="single" w:color="000000" w:sz="4" w:space="0"/>
              <w:left w:val="single" w:color="000000" w:sz="4" w:space="0"/>
              <w:bottom w:val="single" w:color="000000" w:sz="4" w:space="0"/>
              <w:right w:val="nil"/>
            </w:tcBorders>
            <w:shd w:val="clear" w:color="auto" w:fill="auto"/>
            <w:noWrap/>
            <w:vAlign w:val="center"/>
          </w:tcPr>
          <w:p w14:paraId="406284C6">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b w:val="0"/>
                <w:bCs w:val="0"/>
                <w:color w:val="auto"/>
                <w:kern w:val="2"/>
                <w:sz w:val="21"/>
                <w:szCs w:val="21"/>
                <w:highlight w:val="none"/>
                <w:vertAlign w:val="baseline"/>
                <w:lang w:val="en-US" w:eastAsia="zh-CN" w:bidi="ar-SA"/>
              </w:rPr>
            </w:pPr>
          </w:p>
        </w:tc>
      </w:tr>
    </w:tbl>
    <w:p w14:paraId="103590C2">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（五）项目实施情况</w:t>
      </w:r>
    </w:p>
    <w:p w14:paraId="165E3E9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1.签订合同情况</w:t>
      </w:r>
    </w:p>
    <w:p w14:paraId="7904E0C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2024年1月2日和2024年4月30日，扶风县绿盛城建有限责任公司与宝鸡先行电力（集团）有限责任公司秦宇电力工程分公司两次签订了扶风县城新老区及绛帐镇区2024年度（1-4月份和5-12月份）路灯维护工程合同。</w:t>
      </w:r>
    </w:p>
    <w:p w14:paraId="50D5A4C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2.项目实施情况</w:t>
      </w:r>
    </w:p>
    <w:p w14:paraId="2A9E6F2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实施期限为2024年1月1日至2024年12月31日，在此期间，扶风县绿盛城建有限责任公司按约定时效支付了相关运行维护费用。宝鸡先行电力（集团）有限责任公司秦宇电力工程分公司较好的履行了扶风县城新老区及绛帐镇区2024年度路灯的运行和维护工作职责，项目运行维护基本到位，故障处置较为及时有效，路灯、红绿灯及线路运转正常，运行较为良好。但仍有部分群众对一些路段路灯故障处置不及时表示不满。</w:t>
      </w:r>
    </w:p>
    <w:p w14:paraId="372706BB">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（六）项目绩效目标及完成情况</w:t>
      </w:r>
    </w:p>
    <w:p w14:paraId="74DF24A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Calibri"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在2024年1月1日至2024年12月31日期间，扶风县绿盛城建有限责任公司及宝鸡先行电力（集团）有限责任公司秦宇电力工程分公司较好的完成了各自职责和工作任务，较圆满的完成了项目实施内容和相关绩效目标任务。项目主要绩效目标完成情况详见表3。</w:t>
      </w:r>
    </w:p>
    <w:p w14:paraId="2B874C93">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b/>
          <w:bCs/>
          <w:color w:val="auto"/>
          <w:sz w:val="28"/>
          <w:szCs w:val="28"/>
          <w:lang w:val="en-US" w:eastAsia="zh-CN"/>
        </w:rPr>
      </w:pPr>
      <w:r>
        <w:rPr>
          <w:rFonts w:hint="eastAsia" w:ascii="仿宋_GB2312" w:hAnsi="Calibri" w:eastAsia="仿宋_GB2312" w:cs="仿宋_GB2312"/>
          <w:b/>
          <w:bCs/>
          <w:color w:val="auto"/>
          <w:kern w:val="2"/>
          <w:sz w:val="28"/>
          <w:szCs w:val="28"/>
          <w:highlight w:val="none"/>
          <w:lang w:val="en-US" w:eastAsia="zh-CN" w:bidi="ar-SA"/>
        </w:rPr>
        <w:t xml:space="preserve">表3  </w:t>
      </w:r>
      <w:r>
        <w:rPr>
          <w:rFonts w:hint="eastAsia" w:ascii="仿宋" w:hAnsi="仿宋" w:eastAsia="仿宋" w:cs="仿宋"/>
          <w:b/>
          <w:bCs/>
          <w:color w:val="auto"/>
          <w:sz w:val="28"/>
          <w:szCs w:val="28"/>
          <w:lang w:val="en-US" w:eastAsia="zh-CN"/>
        </w:rPr>
        <w:t xml:space="preserve">  项目绩效目标任务完成情况表</w:t>
      </w:r>
    </w:p>
    <w:tbl>
      <w:tblPr>
        <w:tblStyle w:val="15"/>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35"/>
        <w:gridCol w:w="3969"/>
        <w:gridCol w:w="1061"/>
        <w:gridCol w:w="1145"/>
        <w:gridCol w:w="714"/>
      </w:tblGrid>
      <w:tr w14:paraId="6A74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blHeader/>
          <w:jc w:val="center"/>
        </w:trPr>
        <w:tc>
          <w:tcPr>
            <w:tcW w:w="829" w:type="dxa"/>
            <w:vMerge w:val="restart"/>
            <w:tcBorders>
              <w:left w:val="nil"/>
            </w:tcBorders>
            <w:shd w:val="clear" w:color="auto" w:fill="D7D7D7"/>
            <w:noWrap w:val="0"/>
            <w:vAlign w:val="center"/>
          </w:tcPr>
          <w:p w14:paraId="0141103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一级</w:t>
            </w:r>
          </w:p>
          <w:p w14:paraId="788A198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1"/>
                <w:szCs w:val="21"/>
                <w:highlight w:val="none"/>
                <w:vertAlign w:val="baseline"/>
                <w:lang w:val="en-US" w:eastAsia="zh-CN"/>
              </w:rPr>
              <w:t>指标</w:t>
            </w:r>
          </w:p>
        </w:tc>
        <w:tc>
          <w:tcPr>
            <w:tcW w:w="1335" w:type="dxa"/>
            <w:vMerge w:val="restart"/>
            <w:shd w:val="clear" w:color="auto" w:fill="D7D7D7"/>
            <w:noWrap w:val="0"/>
            <w:vAlign w:val="center"/>
          </w:tcPr>
          <w:p w14:paraId="02CFBB5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二级指标</w:t>
            </w:r>
          </w:p>
        </w:tc>
        <w:tc>
          <w:tcPr>
            <w:tcW w:w="3969" w:type="dxa"/>
            <w:vMerge w:val="restart"/>
            <w:shd w:val="clear" w:color="auto" w:fill="D7D7D7"/>
            <w:noWrap w:val="0"/>
            <w:vAlign w:val="center"/>
          </w:tcPr>
          <w:p w14:paraId="3F6341E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三级指标</w:t>
            </w:r>
          </w:p>
        </w:tc>
        <w:tc>
          <w:tcPr>
            <w:tcW w:w="1061" w:type="dxa"/>
            <w:vMerge w:val="restart"/>
            <w:shd w:val="clear" w:color="auto" w:fill="D7D7D7"/>
            <w:noWrap w:val="0"/>
            <w:vAlign w:val="center"/>
          </w:tcPr>
          <w:p w14:paraId="4AA7B10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目标值</w:t>
            </w:r>
          </w:p>
        </w:tc>
        <w:tc>
          <w:tcPr>
            <w:tcW w:w="1145" w:type="dxa"/>
            <w:vMerge w:val="restart"/>
            <w:shd w:val="clear" w:color="auto" w:fill="D7D7D7"/>
            <w:noWrap w:val="0"/>
            <w:vAlign w:val="center"/>
          </w:tcPr>
          <w:p w14:paraId="2139870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完成值</w:t>
            </w:r>
          </w:p>
        </w:tc>
        <w:tc>
          <w:tcPr>
            <w:tcW w:w="714" w:type="dxa"/>
            <w:vMerge w:val="restart"/>
            <w:tcBorders>
              <w:right w:val="nil"/>
            </w:tcBorders>
            <w:shd w:val="clear" w:color="auto" w:fill="D7D7D7"/>
            <w:noWrap w:val="0"/>
            <w:vAlign w:val="center"/>
          </w:tcPr>
          <w:p w14:paraId="1C96AD2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完成情况</w:t>
            </w:r>
          </w:p>
        </w:tc>
      </w:tr>
      <w:tr w14:paraId="44E3E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blHeader/>
          <w:jc w:val="center"/>
        </w:trPr>
        <w:tc>
          <w:tcPr>
            <w:tcW w:w="829" w:type="dxa"/>
            <w:vMerge w:val="continue"/>
            <w:tcBorders>
              <w:left w:val="nil"/>
            </w:tcBorders>
            <w:shd w:val="clear" w:color="auto" w:fill="D7D7D7"/>
            <w:noWrap w:val="0"/>
            <w:vAlign w:val="center"/>
          </w:tcPr>
          <w:p w14:paraId="48B4CDA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335" w:type="dxa"/>
            <w:vMerge w:val="continue"/>
            <w:shd w:val="clear" w:color="auto" w:fill="D7D7D7"/>
            <w:noWrap w:val="0"/>
            <w:vAlign w:val="center"/>
          </w:tcPr>
          <w:p w14:paraId="2FA2855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3969" w:type="dxa"/>
            <w:vMerge w:val="continue"/>
            <w:shd w:val="clear" w:color="auto" w:fill="D7D7D7"/>
            <w:noWrap w:val="0"/>
            <w:vAlign w:val="center"/>
          </w:tcPr>
          <w:p w14:paraId="3485D40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061" w:type="dxa"/>
            <w:vMerge w:val="continue"/>
            <w:shd w:val="clear" w:color="auto" w:fill="D7D7D7"/>
            <w:noWrap w:val="0"/>
            <w:vAlign w:val="center"/>
          </w:tcPr>
          <w:p w14:paraId="05C4C99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1145" w:type="dxa"/>
            <w:vMerge w:val="continue"/>
            <w:shd w:val="clear" w:color="auto" w:fill="D7D7D7"/>
            <w:noWrap w:val="0"/>
            <w:vAlign w:val="center"/>
          </w:tcPr>
          <w:p w14:paraId="354FA4E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c>
          <w:tcPr>
            <w:tcW w:w="714" w:type="dxa"/>
            <w:vMerge w:val="continue"/>
            <w:tcBorders>
              <w:right w:val="nil"/>
            </w:tcBorders>
            <w:shd w:val="clear" w:color="auto" w:fill="D7D7D7"/>
            <w:noWrap w:val="0"/>
            <w:vAlign w:val="center"/>
          </w:tcPr>
          <w:p w14:paraId="1B5F725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highlight w:val="none"/>
                <w:vertAlign w:val="baseline"/>
                <w:lang w:val="en-US" w:eastAsia="zh-CN"/>
              </w:rPr>
            </w:pPr>
          </w:p>
        </w:tc>
      </w:tr>
      <w:tr w14:paraId="1A5E6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829" w:type="dxa"/>
            <w:vMerge w:val="restart"/>
            <w:tcBorders>
              <w:left w:val="nil"/>
            </w:tcBorders>
            <w:noWrap w:val="0"/>
            <w:vAlign w:val="center"/>
          </w:tcPr>
          <w:p w14:paraId="2455AC5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产出指标</w:t>
            </w:r>
          </w:p>
        </w:tc>
        <w:tc>
          <w:tcPr>
            <w:tcW w:w="1335" w:type="dxa"/>
            <w:noWrap w:val="0"/>
            <w:vAlign w:val="center"/>
          </w:tcPr>
          <w:p w14:paraId="5042CFD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数量指标</w:t>
            </w:r>
          </w:p>
        </w:tc>
        <w:tc>
          <w:tcPr>
            <w:tcW w:w="3969" w:type="dxa"/>
            <w:noWrap w:val="0"/>
            <w:vAlign w:val="center"/>
          </w:tcPr>
          <w:p w14:paraId="33982AE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城新老区及绛帐镇区路灯及红绿灯</w:t>
            </w:r>
          </w:p>
        </w:tc>
        <w:tc>
          <w:tcPr>
            <w:tcW w:w="1061" w:type="dxa"/>
            <w:noWrap w:val="0"/>
            <w:vAlign w:val="center"/>
          </w:tcPr>
          <w:p w14:paraId="6D70F69B">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4352盏</w:t>
            </w:r>
          </w:p>
        </w:tc>
        <w:tc>
          <w:tcPr>
            <w:tcW w:w="1145" w:type="dxa"/>
            <w:noWrap w:val="0"/>
            <w:vAlign w:val="center"/>
          </w:tcPr>
          <w:p w14:paraId="5A06850D">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4352盏</w:t>
            </w:r>
          </w:p>
        </w:tc>
        <w:tc>
          <w:tcPr>
            <w:tcW w:w="714" w:type="dxa"/>
            <w:tcBorders>
              <w:right w:val="nil"/>
            </w:tcBorders>
            <w:noWrap w:val="0"/>
            <w:vAlign w:val="center"/>
          </w:tcPr>
          <w:p w14:paraId="2F19DA2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56A75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29" w:type="dxa"/>
            <w:vMerge w:val="continue"/>
            <w:tcBorders>
              <w:left w:val="nil"/>
            </w:tcBorders>
            <w:noWrap w:val="0"/>
            <w:vAlign w:val="center"/>
          </w:tcPr>
          <w:p w14:paraId="4A3BA9EC">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vMerge w:val="restart"/>
            <w:noWrap w:val="0"/>
            <w:vAlign w:val="center"/>
          </w:tcPr>
          <w:p w14:paraId="63A813A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质量指标</w:t>
            </w:r>
          </w:p>
        </w:tc>
        <w:tc>
          <w:tcPr>
            <w:tcW w:w="3969" w:type="dxa"/>
            <w:tcBorders>
              <w:bottom w:val="single" w:color="000000" w:sz="4" w:space="0"/>
            </w:tcBorders>
            <w:noWrap w:val="0"/>
            <w:vAlign w:val="center"/>
          </w:tcPr>
          <w:p w14:paraId="1452450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日常维护运行正常率</w:t>
            </w:r>
          </w:p>
        </w:tc>
        <w:tc>
          <w:tcPr>
            <w:tcW w:w="1061" w:type="dxa"/>
            <w:tcBorders>
              <w:bottom w:val="single" w:color="000000" w:sz="4" w:space="0"/>
            </w:tcBorders>
            <w:noWrap w:val="0"/>
            <w:vAlign w:val="center"/>
          </w:tcPr>
          <w:p w14:paraId="4204165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1145" w:type="dxa"/>
            <w:tcBorders>
              <w:bottom w:val="single" w:color="000000" w:sz="4" w:space="0"/>
            </w:tcBorders>
            <w:noWrap w:val="0"/>
            <w:vAlign w:val="center"/>
          </w:tcPr>
          <w:p w14:paraId="59F5C771">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714" w:type="dxa"/>
            <w:tcBorders>
              <w:bottom w:val="single" w:color="000000" w:sz="4" w:space="0"/>
              <w:right w:val="nil"/>
            </w:tcBorders>
            <w:noWrap w:val="0"/>
            <w:vAlign w:val="center"/>
          </w:tcPr>
          <w:p w14:paraId="1C30695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24F8C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829" w:type="dxa"/>
            <w:vMerge w:val="continue"/>
            <w:tcBorders>
              <w:left w:val="nil"/>
            </w:tcBorders>
            <w:noWrap w:val="0"/>
            <w:vAlign w:val="center"/>
          </w:tcPr>
          <w:p w14:paraId="3B3262A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vMerge w:val="continue"/>
            <w:noWrap w:val="0"/>
            <w:vAlign w:val="center"/>
          </w:tcPr>
          <w:p w14:paraId="23CF059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969" w:type="dxa"/>
            <w:tcBorders>
              <w:top w:val="single" w:color="000000" w:sz="4" w:space="0"/>
            </w:tcBorders>
            <w:noWrap w:val="0"/>
            <w:vAlign w:val="center"/>
          </w:tcPr>
          <w:p w14:paraId="2B048D2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资金使用合格率</w:t>
            </w:r>
          </w:p>
        </w:tc>
        <w:tc>
          <w:tcPr>
            <w:tcW w:w="1061" w:type="dxa"/>
            <w:tcBorders>
              <w:top w:val="single" w:color="000000" w:sz="4" w:space="0"/>
            </w:tcBorders>
            <w:noWrap w:val="0"/>
            <w:vAlign w:val="center"/>
          </w:tcPr>
          <w:p w14:paraId="4E734C1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1145" w:type="dxa"/>
            <w:tcBorders>
              <w:top w:val="single" w:color="000000" w:sz="4" w:space="0"/>
            </w:tcBorders>
            <w:noWrap w:val="0"/>
            <w:vAlign w:val="center"/>
          </w:tcPr>
          <w:p w14:paraId="0C5E7AB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714" w:type="dxa"/>
            <w:tcBorders>
              <w:top w:val="single" w:color="000000" w:sz="4" w:space="0"/>
              <w:right w:val="nil"/>
            </w:tcBorders>
            <w:noWrap w:val="0"/>
            <w:vAlign w:val="center"/>
          </w:tcPr>
          <w:p w14:paraId="55BFAC4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5D53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29" w:type="dxa"/>
            <w:vMerge w:val="continue"/>
            <w:tcBorders>
              <w:left w:val="nil"/>
            </w:tcBorders>
            <w:noWrap w:val="0"/>
            <w:vAlign w:val="center"/>
          </w:tcPr>
          <w:p w14:paraId="5BA7870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noWrap w:val="0"/>
            <w:vAlign w:val="center"/>
          </w:tcPr>
          <w:p w14:paraId="41705B7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时效指标</w:t>
            </w:r>
          </w:p>
        </w:tc>
        <w:tc>
          <w:tcPr>
            <w:tcW w:w="3969" w:type="dxa"/>
            <w:noWrap w:val="0"/>
            <w:vAlign w:val="center"/>
          </w:tcPr>
          <w:p w14:paraId="0554B1D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2024年度全年运行故障处置及时率</w:t>
            </w:r>
          </w:p>
        </w:tc>
        <w:tc>
          <w:tcPr>
            <w:tcW w:w="1061" w:type="dxa"/>
            <w:noWrap w:val="0"/>
            <w:vAlign w:val="center"/>
          </w:tcPr>
          <w:p w14:paraId="21F9CC9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100%</w:t>
            </w:r>
          </w:p>
        </w:tc>
        <w:tc>
          <w:tcPr>
            <w:tcW w:w="1145" w:type="dxa"/>
            <w:noWrap w:val="0"/>
            <w:vAlign w:val="center"/>
          </w:tcPr>
          <w:p w14:paraId="49DEF4D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c>
          <w:tcPr>
            <w:tcW w:w="714" w:type="dxa"/>
            <w:tcBorders>
              <w:right w:val="nil"/>
            </w:tcBorders>
            <w:noWrap w:val="0"/>
            <w:vAlign w:val="center"/>
          </w:tcPr>
          <w:p w14:paraId="5AC1B3A7">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w:t>
            </w:r>
          </w:p>
        </w:tc>
      </w:tr>
      <w:tr w14:paraId="5BFB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29" w:type="dxa"/>
            <w:vMerge w:val="continue"/>
            <w:tcBorders>
              <w:left w:val="nil"/>
            </w:tcBorders>
            <w:noWrap w:val="0"/>
            <w:vAlign w:val="center"/>
          </w:tcPr>
          <w:p w14:paraId="0360552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noWrap w:val="0"/>
            <w:vAlign w:val="center"/>
          </w:tcPr>
          <w:p w14:paraId="61D5945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成本指标</w:t>
            </w:r>
          </w:p>
        </w:tc>
        <w:tc>
          <w:tcPr>
            <w:tcW w:w="3969" w:type="dxa"/>
            <w:tcBorders>
              <w:top w:val="single" w:color="000000" w:sz="4" w:space="0"/>
            </w:tcBorders>
            <w:noWrap w:val="0"/>
            <w:vAlign w:val="center"/>
          </w:tcPr>
          <w:p w14:paraId="6DB6F6F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项目运行维护成本（万元）</w:t>
            </w:r>
          </w:p>
        </w:tc>
        <w:tc>
          <w:tcPr>
            <w:tcW w:w="1061" w:type="dxa"/>
            <w:noWrap w:val="0"/>
            <w:vAlign w:val="center"/>
          </w:tcPr>
          <w:p w14:paraId="3ADC4CAC">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≤360</w:t>
            </w:r>
          </w:p>
        </w:tc>
        <w:tc>
          <w:tcPr>
            <w:tcW w:w="1145" w:type="dxa"/>
            <w:noWrap w:val="0"/>
            <w:vAlign w:val="center"/>
          </w:tcPr>
          <w:p w14:paraId="68DF46B4">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360</w:t>
            </w:r>
          </w:p>
        </w:tc>
        <w:tc>
          <w:tcPr>
            <w:tcW w:w="714" w:type="dxa"/>
            <w:tcBorders>
              <w:right w:val="nil"/>
            </w:tcBorders>
            <w:noWrap w:val="0"/>
            <w:vAlign w:val="center"/>
          </w:tcPr>
          <w:p w14:paraId="11987C8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370B2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29" w:type="dxa"/>
            <w:vMerge w:val="restart"/>
            <w:tcBorders>
              <w:left w:val="nil"/>
            </w:tcBorders>
            <w:noWrap w:val="0"/>
            <w:vAlign w:val="center"/>
          </w:tcPr>
          <w:p w14:paraId="3E07537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效益指标</w:t>
            </w:r>
          </w:p>
        </w:tc>
        <w:tc>
          <w:tcPr>
            <w:tcW w:w="1335" w:type="dxa"/>
            <w:noWrap w:val="0"/>
            <w:vAlign w:val="center"/>
          </w:tcPr>
          <w:p w14:paraId="739AA60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经济效益指标</w:t>
            </w:r>
          </w:p>
        </w:tc>
        <w:tc>
          <w:tcPr>
            <w:tcW w:w="3969" w:type="dxa"/>
            <w:noWrap w:val="0"/>
            <w:vAlign w:val="center"/>
          </w:tcPr>
          <w:p w14:paraId="139A6902">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控制运行成本，促进区域经济发展作用情况</w:t>
            </w:r>
          </w:p>
        </w:tc>
        <w:tc>
          <w:tcPr>
            <w:tcW w:w="1061" w:type="dxa"/>
            <w:noWrap w:val="0"/>
            <w:vAlign w:val="center"/>
          </w:tcPr>
          <w:p w14:paraId="7C3B2B7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145" w:type="dxa"/>
            <w:noWrap w:val="0"/>
            <w:vAlign w:val="center"/>
          </w:tcPr>
          <w:p w14:paraId="0EEF344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714" w:type="dxa"/>
            <w:tcBorders>
              <w:right w:val="nil"/>
            </w:tcBorders>
            <w:noWrap w:val="0"/>
            <w:vAlign w:val="center"/>
          </w:tcPr>
          <w:p w14:paraId="244A8CC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21A32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29" w:type="dxa"/>
            <w:vMerge w:val="continue"/>
            <w:tcBorders>
              <w:left w:val="nil"/>
            </w:tcBorders>
            <w:noWrap w:val="0"/>
            <w:vAlign w:val="center"/>
          </w:tcPr>
          <w:p w14:paraId="4CD84DB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vMerge w:val="restart"/>
            <w:noWrap w:val="0"/>
            <w:vAlign w:val="center"/>
          </w:tcPr>
          <w:p w14:paraId="2B3B546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社会效益指标</w:t>
            </w:r>
          </w:p>
        </w:tc>
        <w:tc>
          <w:tcPr>
            <w:tcW w:w="3969" w:type="dxa"/>
            <w:noWrap w:val="0"/>
            <w:vAlign w:val="center"/>
          </w:tcPr>
          <w:p w14:paraId="3FD64DC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提供夜间照明</w:t>
            </w:r>
            <w:r>
              <w:rPr>
                <w:rFonts w:hint="eastAsia" w:ascii="仿宋_GB2312" w:hAnsi="仿宋_GB2312" w:eastAsia="仿宋_GB2312" w:cs="仿宋_GB2312"/>
                <w:color w:val="auto"/>
                <w:kern w:val="2"/>
                <w:sz w:val="21"/>
                <w:szCs w:val="21"/>
                <w:highlight w:val="none"/>
                <w:vertAlign w:val="baseline"/>
                <w:lang w:val="en-US" w:eastAsia="zh-CN" w:bidi="ar-SA"/>
              </w:rPr>
              <w:t>的作用，</w:t>
            </w:r>
            <w:r>
              <w:rPr>
                <w:rFonts w:hint="default" w:ascii="仿宋_GB2312" w:hAnsi="仿宋_GB2312" w:eastAsia="仿宋_GB2312" w:cs="仿宋_GB2312"/>
                <w:color w:val="auto"/>
                <w:kern w:val="2"/>
                <w:sz w:val="21"/>
                <w:szCs w:val="21"/>
                <w:highlight w:val="none"/>
                <w:vertAlign w:val="baseline"/>
                <w:lang w:val="en-US" w:eastAsia="zh-CN" w:bidi="ar-SA"/>
              </w:rPr>
              <w:t>保障行人和车辆夜间出行的安全</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1061" w:type="dxa"/>
            <w:noWrap w:val="0"/>
            <w:vAlign w:val="center"/>
          </w:tcPr>
          <w:p w14:paraId="65FFA7B1">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145" w:type="dxa"/>
            <w:noWrap w:val="0"/>
            <w:vAlign w:val="center"/>
          </w:tcPr>
          <w:p w14:paraId="12162AD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较为明显</w:t>
            </w:r>
          </w:p>
        </w:tc>
        <w:tc>
          <w:tcPr>
            <w:tcW w:w="714" w:type="dxa"/>
            <w:tcBorders>
              <w:right w:val="nil"/>
            </w:tcBorders>
            <w:noWrap w:val="0"/>
            <w:vAlign w:val="center"/>
          </w:tcPr>
          <w:p w14:paraId="3133686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15444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829" w:type="dxa"/>
            <w:vMerge w:val="continue"/>
            <w:tcBorders>
              <w:left w:val="nil"/>
            </w:tcBorders>
            <w:noWrap w:val="0"/>
            <w:vAlign w:val="center"/>
          </w:tcPr>
          <w:p w14:paraId="5A19A86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vMerge w:val="continue"/>
            <w:noWrap w:val="0"/>
            <w:vAlign w:val="center"/>
          </w:tcPr>
          <w:p w14:paraId="1865D58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969" w:type="dxa"/>
            <w:noWrap w:val="0"/>
            <w:vAlign w:val="center"/>
          </w:tcPr>
          <w:p w14:paraId="52A7449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提高城市的公共安全水平</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1061" w:type="dxa"/>
            <w:noWrap w:val="0"/>
            <w:vAlign w:val="center"/>
          </w:tcPr>
          <w:p w14:paraId="42F5516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145" w:type="dxa"/>
            <w:noWrap w:val="0"/>
            <w:vAlign w:val="center"/>
          </w:tcPr>
          <w:p w14:paraId="3491466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714" w:type="dxa"/>
            <w:tcBorders>
              <w:right w:val="nil"/>
            </w:tcBorders>
            <w:noWrap w:val="0"/>
            <w:vAlign w:val="center"/>
          </w:tcPr>
          <w:p w14:paraId="669D642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7507E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29" w:type="dxa"/>
            <w:vMerge w:val="continue"/>
            <w:tcBorders>
              <w:left w:val="nil"/>
            </w:tcBorders>
            <w:noWrap w:val="0"/>
            <w:vAlign w:val="center"/>
          </w:tcPr>
          <w:p w14:paraId="06C322F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vMerge w:val="continue"/>
            <w:noWrap w:val="0"/>
            <w:vAlign w:val="center"/>
          </w:tcPr>
          <w:p w14:paraId="681168D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3969" w:type="dxa"/>
            <w:noWrap w:val="0"/>
            <w:vAlign w:val="center"/>
          </w:tcPr>
          <w:p w14:paraId="6E2811A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提升城市的整体形象</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1061" w:type="dxa"/>
            <w:noWrap w:val="0"/>
            <w:vAlign w:val="center"/>
          </w:tcPr>
          <w:p w14:paraId="3323752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145" w:type="dxa"/>
            <w:noWrap w:val="0"/>
            <w:vAlign w:val="center"/>
          </w:tcPr>
          <w:p w14:paraId="3C5C0C3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714" w:type="dxa"/>
            <w:tcBorders>
              <w:right w:val="nil"/>
            </w:tcBorders>
            <w:noWrap w:val="0"/>
            <w:vAlign w:val="center"/>
          </w:tcPr>
          <w:p w14:paraId="4219F5C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72D0A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829" w:type="dxa"/>
            <w:vMerge w:val="continue"/>
            <w:tcBorders>
              <w:left w:val="nil"/>
            </w:tcBorders>
            <w:noWrap w:val="0"/>
            <w:vAlign w:val="center"/>
          </w:tcPr>
          <w:p w14:paraId="65FFF10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noWrap w:val="0"/>
            <w:vAlign w:val="center"/>
          </w:tcPr>
          <w:p w14:paraId="77C5B59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生态效益指标</w:t>
            </w:r>
          </w:p>
        </w:tc>
        <w:tc>
          <w:tcPr>
            <w:tcW w:w="3969" w:type="dxa"/>
            <w:noWrap w:val="0"/>
            <w:vAlign w:val="center"/>
          </w:tcPr>
          <w:p w14:paraId="29F0E9DA">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生态环境方面的作用情况</w:t>
            </w:r>
          </w:p>
        </w:tc>
        <w:tc>
          <w:tcPr>
            <w:tcW w:w="1061" w:type="dxa"/>
            <w:noWrap w:val="0"/>
            <w:vAlign w:val="center"/>
          </w:tcPr>
          <w:p w14:paraId="7E14E7E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1145" w:type="dxa"/>
            <w:noWrap w:val="0"/>
            <w:vAlign w:val="center"/>
          </w:tcPr>
          <w:p w14:paraId="042E0FB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明显</w:t>
            </w:r>
          </w:p>
        </w:tc>
        <w:tc>
          <w:tcPr>
            <w:tcW w:w="714" w:type="dxa"/>
            <w:tcBorders>
              <w:right w:val="nil"/>
            </w:tcBorders>
            <w:noWrap w:val="0"/>
            <w:vAlign w:val="center"/>
          </w:tcPr>
          <w:p w14:paraId="510D40E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1C3B9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29" w:type="dxa"/>
            <w:vMerge w:val="continue"/>
            <w:tcBorders>
              <w:left w:val="nil"/>
            </w:tcBorders>
            <w:noWrap w:val="0"/>
            <w:vAlign w:val="center"/>
          </w:tcPr>
          <w:p w14:paraId="2232FFF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p>
        </w:tc>
        <w:tc>
          <w:tcPr>
            <w:tcW w:w="1335" w:type="dxa"/>
            <w:noWrap w:val="0"/>
            <w:vAlign w:val="center"/>
          </w:tcPr>
          <w:p w14:paraId="5EF88F7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可持续影响指标</w:t>
            </w:r>
          </w:p>
        </w:tc>
        <w:tc>
          <w:tcPr>
            <w:tcW w:w="3969" w:type="dxa"/>
            <w:noWrap w:val="0"/>
            <w:vAlign w:val="center"/>
          </w:tcPr>
          <w:p w14:paraId="58054BC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项目长效运管及可持续发展情况</w:t>
            </w:r>
          </w:p>
        </w:tc>
        <w:tc>
          <w:tcPr>
            <w:tcW w:w="1061" w:type="dxa"/>
            <w:noWrap w:val="0"/>
            <w:vAlign w:val="center"/>
          </w:tcPr>
          <w:p w14:paraId="7FC2646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良好</w:t>
            </w:r>
          </w:p>
        </w:tc>
        <w:tc>
          <w:tcPr>
            <w:tcW w:w="1145" w:type="dxa"/>
            <w:noWrap w:val="0"/>
            <w:vAlign w:val="center"/>
          </w:tcPr>
          <w:p w14:paraId="18BE8D2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良好</w:t>
            </w:r>
          </w:p>
        </w:tc>
        <w:tc>
          <w:tcPr>
            <w:tcW w:w="714" w:type="dxa"/>
            <w:tcBorders>
              <w:right w:val="nil"/>
            </w:tcBorders>
            <w:noWrap w:val="0"/>
            <w:vAlign w:val="center"/>
          </w:tcPr>
          <w:p w14:paraId="1213E9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w:t>
            </w:r>
          </w:p>
        </w:tc>
      </w:tr>
      <w:tr w14:paraId="26B43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9" w:type="dxa"/>
            <w:tcBorders>
              <w:left w:val="nil"/>
            </w:tcBorders>
            <w:noWrap w:val="0"/>
            <w:vAlign w:val="center"/>
          </w:tcPr>
          <w:p w14:paraId="7B30D49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满意度指标</w:t>
            </w:r>
          </w:p>
        </w:tc>
        <w:tc>
          <w:tcPr>
            <w:tcW w:w="1335" w:type="dxa"/>
            <w:noWrap w:val="0"/>
            <w:vAlign w:val="center"/>
          </w:tcPr>
          <w:p w14:paraId="1876EFB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服务对象满意度指标</w:t>
            </w:r>
          </w:p>
        </w:tc>
        <w:tc>
          <w:tcPr>
            <w:tcW w:w="3969" w:type="dxa"/>
            <w:noWrap w:val="0"/>
            <w:vAlign w:val="center"/>
          </w:tcPr>
          <w:p w14:paraId="4E6C40A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人民群众对项目实施的满意度</w:t>
            </w:r>
          </w:p>
        </w:tc>
        <w:tc>
          <w:tcPr>
            <w:tcW w:w="1061" w:type="dxa"/>
            <w:noWrap w:val="0"/>
            <w:vAlign w:val="center"/>
          </w:tcPr>
          <w:p w14:paraId="2B7FBF65">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≥95%</w:t>
            </w:r>
          </w:p>
        </w:tc>
        <w:tc>
          <w:tcPr>
            <w:tcW w:w="1145" w:type="dxa"/>
            <w:noWrap w:val="0"/>
            <w:vAlign w:val="center"/>
          </w:tcPr>
          <w:p w14:paraId="7EBDE50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92.7%</w:t>
            </w:r>
          </w:p>
        </w:tc>
        <w:tc>
          <w:tcPr>
            <w:tcW w:w="714" w:type="dxa"/>
            <w:tcBorders>
              <w:right w:val="nil"/>
            </w:tcBorders>
            <w:noWrap w:val="0"/>
            <w:vAlign w:val="center"/>
          </w:tcPr>
          <w:p w14:paraId="5DB267E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X</w:t>
            </w:r>
          </w:p>
        </w:tc>
      </w:tr>
    </w:tbl>
    <w:p w14:paraId="0ED9C0AA">
      <w:pPr>
        <w:keepNext w:val="0"/>
        <w:keepLines w:val="0"/>
        <w:pageBreakBefore w:val="0"/>
        <w:widowControl w:val="0"/>
        <w:kinsoku/>
        <w:wordWrap/>
        <w:overflowPunct/>
        <w:topLinePunct w:val="0"/>
        <w:autoSpaceDE/>
        <w:autoSpaceDN/>
        <w:bidi w:val="0"/>
        <w:adjustRightInd/>
        <w:snapToGrid/>
        <w:spacing w:before="165" w:beforeLines="50" w:after="165" w:afterLines="50" w:line="440" w:lineRule="exact"/>
        <w:ind w:left="0" w:leftChars="0" w:firstLine="566" w:firstLineChars="200"/>
        <w:textAlignment w:val="auto"/>
        <w:rPr>
          <w:rFonts w:hint="eastAsia" w:ascii="楷体" w:hAnsi="楷体" w:eastAsia="楷体" w:cs="楷体"/>
          <w:color w:val="auto"/>
          <w:sz w:val="28"/>
          <w:szCs w:val="28"/>
          <w:highlight w:val="none"/>
          <w:lang w:val="en-US" w:eastAsia="zh-CN"/>
        </w:rPr>
      </w:pPr>
      <w:r>
        <w:rPr>
          <w:rFonts w:hint="eastAsia" w:ascii="楷体" w:hAnsi="楷体" w:eastAsia="楷体" w:cs="楷体"/>
          <w:color w:val="auto"/>
          <w:kern w:val="2"/>
          <w:sz w:val="28"/>
          <w:szCs w:val="28"/>
          <w:highlight w:val="none"/>
          <w:lang w:val="en-US" w:eastAsia="zh-CN" w:bidi="ar-SA"/>
        </w:rPr>
        <w:t>注：此</w:t>
      </w:r>
      <w:r>
        <w:rPr>
          <w:rFonts w:hint="eastAsia" w:ascii="楷体" w:hAnsi="楷体" w:eastAsia="楷体" w:cs="楷体"/>
          <w:color w:val="auto"/>
          <w:sz w:val="28"/>
          <w:szCs w:val="28"/>
          <w:highlight w:val="none"/>
          <w:lang w:val="en-US" w:eastAsia="zh-CN"/>
        </w:rPr>
        <w:t>表中部分指标是评价组根据项目单位提供有关资料、评价组收集到的相关资料以及本次评价检查情况而调整的绩效目标及其完成值。</w:t>
      </w:r>
    </w:p>
    <w:p w14:paraId="462F04B1">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lang w:val="en-US" w:eastAsia="zh-CN"/>
        </w:rPr>
        <w:t xml:space="preserve"> </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、绩效评价工作开展情况</w:t>
      </w:r>
    </w:p>
    <w:p w14:paraId="5A57930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zh-CN"/>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auto"/>
          <w:sz w:val="32"/>
          <w:szCs w:val="32"/>
          <w:highlight w:val="none"/>
          <w:lang w:val="zh-CN"/>
        </w:rPr>
        <w:t>评价依据</w:t>
      </w:r>
    </w:p>
    <w:p w14:paraId="3684558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1.中央、省、市、县现行相关政策文件；</w:t>
      </w:r>
    </w:p>
    <w:p w14:paraId="749CDE4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2.扶风县住房和城乡建设局、财政局等相关文件；</w:t>
      </w:r>
    </w:p>
    <w:p w14:paraId="2034B86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3.项目实施单位提供的相关资料，包括项目申报资料、项目自评报告、绩效目标表、资金到账及资金支出凭证，项</w:t>
      </w:r>
      <w:bookmarkStart w:id="3" w:name="_GoBack"/>
      <w:bookmarkEnd w:id="3"/>
      <w:r>
        <w:rPr>
          <w:rFonts w:hint="eastAsia" w:ascii="仿宋_GB2312" w:hAnsi="仿宋_GB2312" w:eastAsia="仿宋_GB2312" w:cs="仿宋_GB2312"/>
          <w:color w:val="auto"/>
          <w:kern w:val="2"/>
          <w:sz w:val="32"/>
          <w:szCs w:val="32"/>
          <w:highlight w:val="none"/>
          <w:lang w:val="en-US" w:eastAsia="zh-CN" w:bidi="ar-SA"/>
        </w:rPr>
        <w:t>目实施及管理等相关资料；</w:t>
      </w:r>
    </w:p>
    <w:p w14:paraId="7151817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4.评价工作人员通过现场调查、核实、问卷等获得的资料；</w:t>
      </w:r>
    </w:p>
    <w:p w14:paraId="4D25626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5.其他相关资料。</w:t>
      </w:r>
    </w:p>
    <w:p w14:paraId="7428CA5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w:t>
      </w:r>
      <w:r>
        <w:rPr>
          <w:rFonts w:hint="eastAsia" w:ascii="楷体" w:hAnsi="楷体" w:eastAsia="楷体" w:cs="楷体"/>
          <w:b/>
          <w:bCs/>
          <w:color w:val="auto"/>
          <w:sz w:val="32"/>
          <w:szCs w:val="32"/>
          <w:highlight w:val="none"/>
          <w:lang w:val="en-US" w:eastAsia="zh-CN"/>
        </w:rPr>
        <w:t>二）评价目的与重点</w:t>
      </w:r>
    </w:p>
    <w:p w14:paraId="4D52908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1.评价目的</w:t>
      </w:r>
    </w:p>
    <w:p w14:paraId="6D17086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val="en-US" w:eastAsia="zh-CN"/>
        </w:rPr>
        <w:t>运用规范</w:t>
      </w:r>
      <w:r>
        <w:rPr>
          <w:rFonts w:hint="eastAsia" w:ascii="仿宋_GB2312" w:hAnsi="仿宋_GB2312" w:eastAsia="仿宋_GB2312" w:cs="仿宋_GB2312"/>
          <w:color w:val="auto"/>
          <w:kern w:val="2"/>
          <w:sz w:val="32"/>
          <w:szCs w:val="32"/>
          <w:highlight w:val="none"/>
          <w:lang w:val="en-US" w:eastAsia="zh-CN" w:bidi="ar-SA"/>
        </w:rPr>
        <w:t>的绩效指标体系和科学的评价方法，全面、客观反映财政支出项目完成情况和实施效果。同时，及时总结经验，分析存在的问题，采取有效措施改进和加强项目管理，为政府相关决策提供参考依据。</w:t>
      </w:r>
    </w:p>
    <w:p w14:paraId="7A2DF8D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2.评价重点</w:t>
      </w:r>
    </w:p>
    <w:p w14:paraId="0F9834A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default" w:ascii="仿宋_GB2312" w:hAnsi="仿宋_GB2312" w:eastAsia="仿宋_GB2312" w:cs="仿宋_GB2312"/>
          <w:color w:val="auto"/>
          <w:kern w:val="2"/>
          <w:sz w:val="32"/>
          <w:szCs w:val="32"/>
          <w:highlight w:val="none"/>
          <w:lang w:val="en-US" w:eastAsia="zh-CN" w:bidi="ar-SA"/>
        </w:rPr>
        <w:t>项目目标及任务完成情况：评估项目是否按时、按质、按量完成了预定的目标和任务。</w:t>
      </w:r>
    </w:p>
    <w:p w14:paraId="602E275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项目质量及</w:t>
      </w:r>
      <w:r>
        <w:rPr>
          <w:rFonts w:hint="eastAsia" w:ascii="仿宋_GB2312" w:hAnsi="仿宋_GB2312" w:eastAsia="仿宋_GB2312" w:cs="仿宋_GB2312"/>
          <w:color w:val="auto"/>
          <w:kern w:val="2"/>
          <w:sz w:val="32"/>
          <w:szCs w:val="32"/>
          <w:highlight w:val="none"/>
          <w:lang w:val="en-US" w:eastAsia="zh-CN" w:bidi="ar-SA"/>
        </w:rPr>
        <w:t>成效</w:t>
      </w:r>
      <w:r>
        <w:rPr>
          <w:rFonts w:hint="default" w:ascii="仿宋_GB2312" w:hAnsi="仿宋_GB2312" w:eastAsia="仿宋_GB2312" w:cs="仿宋_GB2312"/>
          <w:color w:val="auto"/>
          <w:kern w:val="2"/>
          <w:sz w:val="32"/>
          <w:szCs w:val="32"/>
          <w:highlight w:val="none"/>
          <w:lang w:val="en-US" w:eastAsia="zh-CN" w:bidi="ar-SA"/>
        </w:rPr>
        <w:t>：考察项目的产出质量和</w:t>
      </w:r>
      <w:r>
        <w:rPr>
          <w:rFonts w:hint="eastAsia" w:ascii="仿宋_GB2312" w:hAnsi="仿宋_GB2312" w:eastAsia="仿宋_GB2312" w:cs="仿宋_GB2312"/>
          <w:color w:val="auto"/>
          <w:kern w:val="2"/>
          <w:sz w:val="32"/>
          <w:szCs w:val="32"/>
          <w:highlight w:val="none"/>
          <w:lang w:val="en-US" w:eastAsia="zh-CN" w:bidi="ar-SA"/>
        </w:rPr>
        <w:t>成效情况</w:t>
      </w:r>
      <w:r>
        <w:rPr>
          <w:rFonts w:hint="default" w:ascii="仿宋_GB2312" w:hAnsi="仿宋_GB2312" w:eastAsia="仿宋_GB2312" w:cs="仿宋_GB2312"/>
          <w:color w:val="auto"/>
          <w:kern w:val="2"/>
          <w:sz w:val="32"/>
          <w:szCs w:val="32"/>
          <w:highlight w:val="none"/>
          <w:lang w:val="en-US" w:eastAsia="zh-CN" w:bidi="ar-SA"/>
        </w:rPr>
        <w:t>。</w:t>
      </w:r>
    </w:p>
    <w:p w14:paraId="6859992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项目管理效能：评价项目的组织管理、财务管理、</w:t>
      </w:r>
      <w:r>
        <w:rPr>
          <w:rFonts w:hint="eastAsia" w:ascii="仿宋_GB2312" w:hAnsi="仿宋_GB2312" w:eastAsia="仿宋_GB2312" w:cs="仿宋_GB2312"/>
          <w:color w:val="auto"/>
          <w:kern w:val="2"/>
          <w:sz w:val="32"/>
          <w:szCs w:val="32"/>
          <w:highlight w:val="none"/>
          <w:lang w:val="en-US" w:eastAsia="zh-CN" w:bidi="ar-SA"/>
        </w:rPr>
        <w:t>长效</w:t>
      </w:r>
      <w:r>
        <w:rPr>
          <w:rFonts w:hint="default" w:ascii="仿宋_GB2312" w:hAnsi="仿宋_GB2312" w:eastAsia="仿宋_GB2312" w:cs="仿宋_GB2312"/>
          <w:color w:val="auto"/>
          <w:kern w:val="2"/>
          <w:sz w:val="32"/>
          <w:szCs w:val="32"/>
          <w:highlight w:val="none"/>
          <w:lang w:val="en-US" w:eastAsia="zh-CN" w:bidi="ar-SA"/>
        </w:rPr>
        <w:t>管理等方面的效率和效果。</w:t>
      </w:r>
    </w:p>
    <w:p w14:paraId="0CA2E63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楷体" w:hAnsi="楷体" w:eastAsia="楷体" w:cs="楷体"/>
          <w:b/>
          <w:bCs/>
          <w:color w:val="auto"/>
          <w:sz w:val="32"/>
          <w:szCs w:val="32"/>
          <w:highlight w:val="green"/>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项目的经济效益及社会效益：分析项目对经济发展的贡献以及对社会的正面影响。</w:t>
      </w:r>
    </w:p>
    <w:p w14:paraId="443214B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color w:val="auto"/>
          <w:sz w:val="24"/>
          <w:szCs w:val="24"/>
        </w:rPr>
      </w:pP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kern w:val="0"/>
          <w:sz w:val="31"/>
          <w:szCs w:val="31"/>
          <w:lang w:val="en-US" w:eastAsia="zh-CN" w:bidi="ar"/>
        </w:rPr>
        <w:t>绩效评价指标与方法</w:t>
      </w:r>
      <w:r>
        <w:rPr>
          <w:rFonts w:hint="eastAsia" w:ascii="仿宋_GB2312" w:hAnsi="宋体" w:eastAsia="仿宋_GB2312" w:cs="仿宋_GB2312"/>
          <w:color w:val="auto"/>
          <w:kern w:val="0"/>
          <w:sz w:val="24"/>
          <w:szCs w:val="24"/>
          <w:lang w:val="en-US" w:eastAsia="zh-CN" w:bidi="ar"/>
        </w:rPr>
        <w:t xml:space="preserve"> </w:t>
      </w:r>
    </w:p>
    <w:p w14:paraId="1137BF1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1.评价原则</w:t>
      </w:r>
    </w:p>
    <w:p w14:paraId="7BE89451">
      <w:pPr>
        <w:spacing w:line="560" w:lineRule="exact"/>
        <w:ind w:firstLine="64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按照科学规范、公正公开、分级分类、绩效相关</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权责统一</w:t>
      </w:r>
      <w:r>
        <w:rPr>
          <w:rFonts w:hint="eastAsia" w:ascii="仿宋_GB2312" w:hAnsi="仿宋_GB2312" w:eastAsia="仿宋_GB2312" w:cs="仿宋_GB2312"/>
          <w:color w:val="auto"/>
          <w:sz w:val="32"/>
          <w:szCs w:val="32"/>
          <w:highlight w:val="none"/>
          <w:lang w:val="en-US" w:eastAsia="zh-CN"/>
        </w:rPr>
        <w:t>的原则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对项目进行综合评价。</w:t>
      </w:r>
    </w:p>
    <w:p w14:paraId="723DBF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2.评价指标体系</w:t>
      </w:r>
    </w:p>
    <w:p w14:paraId="27DB49E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项目评价指标体系详见附件。</w:t>
      </w:r>
    </w:p>
    <w:p w14:paraId="1A8E0C6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3.评价方法</w:t>
      </w:r>
    </w:p>
    <w:p w14:paraId="4D889AD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采用比较、因素分析、公众评判等评价方法，在</w:t>
      </w:r>
      <w:r>
        <w:rPr>
          <w:rFonts w:hint="eastAsia" w:ascii="仿宋_GB2312" w:hAnsi="仿宋_GB2312" w:eastAsia="仿宋_GB2312" w:cs="仿宋_GB2312"/>
          <w:color w:val="auto"/>
          <w:kern w:val="2"/>
          <w:sz w:val="32"/>
          <w:szCs w:val="32"/>
          <w:highlight w:val="none"/>
          <w:lang w:val="zh-CN" w:eastAsia="zh-CN" w:bidi="ar-SA"/>
        </w:rPr>
        <w:t>项目单位自评</w:t>
      </w:r>
      <w:r>
        <w:rPr>
          <w:rFonts w:hint="eastAsia" w:ascii="仿宋_GB2312" w:hAnsi="仿宋_GB2312" w:eastAsia="仿宋_GB2312" w:cs="仿宋_GB2312"/>
          <w:color w:val="auto"/>
          <w:kern w:val="2"/>
          <w:sz w:val="32"/>
          <w:szCs w:val="32"/>
          <w:highlight w:val="none"/>
          <w:lang w:val="en-US" w:eastAsia="zh-CN" w:bidi="ar-SA"/>
        </w:rPr>
        <w:t>的基础上</w:t>
      </w:r>
      <w:r>
        <w:rPr>
          <w:rFonts w:hint="eastAsia" w:ascii="仿宋_GB2312" w:hAnsi="仿宋_GB2312" w:eastAsia="仿宋_GB2312" w:cs="仿宋_GB2312"/>
          <w:color w:val="auto"/>
          <w:kern w:val="2"/>
          <w:sz w:val="32"/>
          <w:szCs w:val="32"/>
          <w:highlight w:val="none"/>
          <w:lang w:val="zh-CN" w:eastAsia="zh-CN" w:bidi="ar-SA"/>
        </w:rPr>
        <w:t>，通过</w:t>
      </w:r>
      <w:r>
        <w:rPr>
          <w:rFonts w:hint="eastAsia" w:ascii="仿宋_GB2312" w:hAnsi="仿宋_GB2312" w:eastAsia="仿宋_GB2312" w:cs="仿宋_GB2312"/>
          <w:color w:val="auto"/>
          <w:kern w:val="2"/>
          <w:sz w:val="32"/>
          <w:szCs w:val="32"/>
          <w:highlight w:val="none"/>
          <w:lang w:val="en-US" w:eastAsia="zh-CN" w:bidi="ar-SA"/>
        </w:rPr>
        <w:t>统计汇总与数据</w:t>
      </w:r>
      <w:r>
        <w:rPr>
          <w:rFonts w:hint="eastAsia" w:ascii="仿宋_GB2312" w:hAnsi="仿宋_GB2312" w:eastAsia="仿宋_GB2312" w:cs="仿宋_GB2312"/>
          <w:color w:val="auto"/>
          <w:kern w:val="2"/>
          <w:sz w:val="32"/>
          <w:szCs w:val="32"/>
          <w:highlight w:val="none"/>
          <w:lang w:val="zh-CN" w:eastAsia="zh-CN" w:bidi="ar-SA"/>
        </w:rPr>
        <w:t>分析、整体评价与现场评价、</w:t>
      </w:r>
      <w:r>
        <w:rPr>
          <w:rFonts w:hint="eastAsia" w:ascii="仿宋_GB2312" w:hAnsi="仿宋_GB2312" w:eastAsia="仿宋_GB2312" w:cs="仿宋_GB2312"/>
          <w:color w:val="auto"/>
          <w:kern w:val="2"/>
          <w:sz w:val="32"/>
          <w:szCs w:val="32"/>
          <w:highlight w:val="none"/>
          <w:lang w:val="en-US" w:eastAsia="zh-CN" w:bidi="ar-SA"/>
        </w:rPr>
        <w:t>走访惠及群众及</w:t>
      </w:r>
      <w:r>
        <w:rPr>
          <w:rFonts w:hint="eastAsia" w:ascii="仿宋_GB2312" w:hAnsi="仿宋_GB2312" w:eastAsia="仿宋_GB2312" w:cs="仿宋_GB2312"/>
          <w:color w:val="auto"/>
          <w:kern w:val="2"/>
          <w:sz w:val="32"/>
          <w:szCs w:val="32"/>
          <w:highlight w:val="none"/>
          <w:lang w:val="zh-CN" w:eastAsia="zh-CN" w:bidi="ar-SA"/>
        </w:rPr>
        <w:t>问卷调查等方式进行</w:t>
      </w:r>
      <w:r>
        <w:rPr>
          <w:rFonts w:hint="eastAsia" w:ascii="仿宋_GB2312" w:hAnsi="仿宋_GB2312" w:eastAsia="仿宋_GB2312" w:cs="仿宋_GB2312"/>
          <w:color w:val="auto"/>
          <w:kern w:val="2"/>
          <w:sz w:val="32"/>
          <w:szCs w:val="32"/>
          <w:highlight w:val="none"/>
          <w:lang w:val="en-US" w:eastAsia="zh-CN" w:bidi="ar-SA"/>
        </w:rPr>
        <w:t>绩效</w:t>
      </w:r>
      <w:r>
        <w:rPr>
          <w:rFonts w:hint="eastAsia" w:ascii="仿宋_GB2312" w:hAnsi="仿宋_GB2312" w:eastAsia="仿宋_GB2312" w:cs="仿宋_GB2312"/>
          <w:color w:val="auto"/>
          <w:kern w:val="2"/>
          <w:sz w:val="32"/>
          <w:szCs w:val="32"/>
          <w:highlight w:val="none"/>
          <w:lang w:val="zh-CN" w:eastAsia="zh-CN" w:bidi="ar-SA"/>
        </w:rPr>
        <w:t>评价，形成</w:t>
      </w:r>
      <w:r>
        <w:rPr>
          <w:rFonts w:hint="eastAsia" w:ascii="仿宋_GB2312" w:hAnsi="仿宋_GB2312" w:eastAsia="仿宋_GB2312" w:cs="仿宋_GB2312"/>
          <w:color w:val="auto"/>
          <w:kern w:val="2"/>
          <w:sz w:val="32"/>
          <w:szCs w:val="32"/>
          <w:highlight w:val="none"/>
          <w:lang w:val="en-US" w:eastAsia="zh-CN" w:bidi="ar-SA"/>
        </w:rPr>
        <w:t>评价结论，</w:t>
      </w:r>
      <w:r>
        <w:rPr>
          <w:rFonts w:hint="eastAsia" w:ascii="仿宋_GB2312" w:hAnsi="仿宋_GB2312" w:eastAsia="仿宋_GB2312" w:cs="仿宋_GB2312"/>
          <w:color w:val="auto"/>
          <w:kern w:val="2"/>
          <w:sz w:val="32"/>
          <w:szCs w:val="32"/>
          <w:highlight w:val="none"/>
          <w:lang w:val="zh-CN" w:eastAsia="zh-CN" w:bidi="ar-SA"/>
        </w:rPr>
        <w:t>撰写</w:t>
      </w:r>
      <w:r>
        <w:rPr>
          <w:rFonts w:hint="eastAsia" w:ascii="仿宋_GB2312" w:hAnsi="仿宋_GB2312" w:eastAsia="仿宋_GB2312" w:cs="仿宋_GB2312"/>
          <w:color w:val="auto"/>
          <w:kern w:val="2"/>
          <w:sz w:val="32"/>
          <w:szCs w:val="32"/>
          <w:highlight w:val="none"/>
          <w:lang w:val="en-US" w:eastAsia="zh-CN" w:bidi="ar-SA"/>
        </w:rPr>
        <w:t>评价</w:t>
      </w:r>
      <w:r>
        <w:rPr>
          <w:rFonts w:hint="eastAsia" w:ascii="仿宋_GB2312" w:hAnsi="仿宋_GB2312" w:eastAsia="仿宋_GB2312" w:cs="仿宋_GB2312"/>
          <w:color w:val="auto"/>
          <w:kern w:val="2"/>
          <w:sz w:val="32"/>
          <w:szCs w:val="32"/>
          <w:highlight w:val="none"/>
          <w:lang w:val="zh-CN" w:eastAsia="zh-CN" w:bidi="ar-SA"/>
        </w:rPr>
        <w:t>报告</w:t>
      </w:r>
      <w:r>
        <w:rPr>
          <w:rFonts w:hint="eastAsia" w:ascii="仿宋_GB2312" w:hAnsi="仿宋_GB2312" w:eastAsia="仿宋_GB2312" w:cs="仿宋_GB2312"/>
          <w:color w:val="auto"/>
          <w:kern w:val="2"/>
          <w:sz w:val="32"/>
          <w:szCs w:val="32"/>
          <w:highlight w:val="none"/>
          <w:lang w:val="en-US" w:eastAsia="zh-CN" w:bidi="ar-SA"/>
        </w:rPr>
        <w:t>。</w:t>
      </w:r>
    </w:p>
    <w:p w14:paraId="7B694A5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4.评价标准</w:t>
      </w:r>
    </w:p>
    <w:p w14:paraId="798F0BB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2024年扶风县路灯电力线路红绿灯等设施运行维护项目绩效评价采</w:t>
      </w:r>
      <w:r>
        <w:rPr>
          <w:rFonts w:hint="eastAsia" w:ascii="仿宋_GB2312" w:hAnsi="仿宋_GB2312" w:eastAsia="仿宋_GB2312" w:cs="仿宋_GB2312"/>
          <w:color w:val="auto"/>
          <w:sz w:val="32"/>
          <w:szCs w:val="32"/>
          <w:highlight w:val="none"/>
        </w:rPr>
        <w:t>用百分制得分。评价指标共设置</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个一级指标、</w:t>
      </w: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个二级指标、</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个三级指标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评价结果分为优</w:t>
      </w:r>
      <w:r>
        <w:rPr>
          <w:rFonts w:hint="eastAsia" w:ascii="仿宋_GB2312" w:hAnsi="仿宋_GB2312" w:eastAsia="仿宋_GB2312" w:cs="仿宋_GB2312"/>
          <w:color w:val="auto"/>
          <w:sz w:val="32"/>
          <w:szCs w:val="32"/>
          <w:highlight w:val="none"/>
          <w:lang w:val="en-US" w:eastAsia="zh-CN"/>
        </w:rPr>
        <w:t>秀</w:t>
      </w:r>
      <w:r>
        <w:rPr>
          <w:rFonts w:hint="eastAsia" w:ascii="仿宋_GB2312" w:hAnsi="仿宋_GB2312" w:eastAsia="仿宋_GB2312" w:cs="仿宋_GB2312"/>
          <w:color w:val="auto"/>
          <w:sz w:val="32"/>
          <w:szCs w:val="32"/>
          <w:highlight w:val="none"/>
        </w:rPr>
        <w:t>、良</w:t>
      </w:r>
      <w:r>
        <w:rPr>
          <w:rFonts w:hint="eastAsia" w:ascii="仿宋_GB2312" w:hAnsi="仿宋_GB2312" w:eastAsia="仿宋_GB2312" w:cs="仿宋_GB2312"/>
          <w:color w:val="auto"/>
          <w:sz w:val="32"/>
          <w:szCs w:val="32"/>
          <w:highlight w:val="none"/>
          <w:lang w:val="en-US" w:eastAsia="zh-CN"/>
        </w:rPr>
        <w:t>好</w:t>
      </w:r>
      <w:r>
        <w:rPr>
          <w:rFonts w:hint="eastAsia" w:ascii="仿宋_GB2312" w:hAnsi="仿宋_GB2312" w:eastAsia="仿宋_GB2312" w:cs="仿宋_GB2312"/>
          <w:color w:val="auto"/>
          <w:sz w:val="32"/>
          <w:szCs w:val="32"/>
          <w:highlight w:val="none"/>
        </w:rPr>
        <w:t>、一般、差4个评价等次，根据计算结果的分值，确定评价项目最后达到的等次。具体</w:t>
      </w:r>
      <w:r>
        <w:rPr>
          <w:rFonts w:hint="eastAsia" w:ascii="仿宋_GB2312" w:hAnsi="仿宋_GB2312" w:eastAsia="仿宋_GB2312" w:cs="仿宋_GB2312"/>
          <w:color w:val="auto"/>
          <w:sz w:val="32"/>
          <w:szCs w:val="32"/>
          <w:highlight w:val="none"/>
          <w:lang w:val="en-US" w:eastAsia="zh-CN"/>
        </w:rPr>
        <w:t>见表4</w:t>
      </w:r>
      <w:r>
        <w:rPr>
          <w:rFonts w:hint="eastAsia" w:ascii="仿宋_GB2312" w:hAnsi="仿宋_GB2312" w:eastAsia="仿宋_GB2312" w:cs="仿宋_GB2312"/>
          <w:color w:val="auto"/>
          <w:sz w:val="32"/>
          <w:szCs w:val="32"/>
          <w:highlight w:val="none"/>
        </w:rPr>
        <w:t>：</w:t>
      </w:r>
    </w:p>
    <w:p w14:paraId="64A1C8A3">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eastAsia="仿宋_GB2312"/>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表4   评价结果等次表</w:t>
      </w:r>
    </w:p>
    <w:tbl>
      <w:tblPr>
        <w:tblStyle w:val="14"/>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1264"/>
        <w:gridCol w:w="2028"/>
        <w:gridCol w:w="2262"/>
        <w:gridCol w:w="1363"/>
      </w:tblGrid>
      <w:tr w14:paraId="3292D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2" w:type="dxa"/>
            <w:tcBorders>
              <w:left w:val="nil"/>
            </w:tcBorders>
            <w:shd w:val="clear" w:color="auto" w:fill="D7D7D7"/>
            <w:noWrap w:val="0"/>
            <w:vAlign w:val="center"/>
          </w:tcPr>
          <w:p w14:paraId="2B63065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评价等次</w:t>
            </w:r>
          </w:p>
        </w:tc>
        <w:tc>
          <w:tcPr>
            <w:tcW w:w="1264" w:type="dxa"/>
            <w:shd w:val="clear" w:color="auto" w:fill="D7D7D7"/>
            <w:noWrap w:val="0"/>
            <w:vAlign w:val="center"/>
          </w:tcPr>
          <w:p w14:paraId="4DECE23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优</w:t>
            </w:r>
            <w:r>
              <w:rPr>
                <w:rFonts w:hint="eastAsia" w:ascii="仿宋" w:hAnsi="仿宋" w:eastAsia="仿宋" w:cs="仿宋"/>
                <w:b/>
                <w:bCs/>
                <w:color w:val="auto"/>
                <w:sz w:val="24"/>
                <w:szCs w:val="24"/>
                <w:highlight w:val="none"/>
                <w:lang w:val="en-US" w:eastAsia="zh-CN"/>
              </w:rPr>
              <w:t>秀</w:t>
            </w:r>
          </w:p>
        </w:tc>
        <w:tc>
          <w:tcPr>
            <w:tcW w:w="2028" w:type="dxa"/>
            <w:shd w:val="clear" w:color="auto" w:fill="D7D7D7"/>
            <w:noWrap w:val="0"/>
            <w:vAlign w:val="center"/>
          </w:tcPr>
          <w:p w14:paraId="7D40FFB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良</w:t>
            </w:r>
            <w:r>
              <w:rPr>
                <w:rFonts w:hint="eastAsia" w:ascii="仿宋" w:hAnsi="仿宋" w:eastAsia="仿宋" w:cs="仿宋"/>
                <w:b/>
                <w:bCs/>
                <w:color w:val="auto"/>
                <w:sz w:val="24"/>
                <w:szCs w:val="24"/>
                <w:highlight w:val="none"/>
                <w:lang w:val="en-US" w:eastAsia="zh-CN"/>
              </w:rPr>
              <w:t>好</w:t>
            </w:r>
          </w:p>
        </w:tc>
        <w:tc>
          <w:tcPr>
            <w:tcW w:w="2262" w:type="dxa"/>
            <w:shd w:val="clear" w:color="auto" w:fill="D7D7D7"/>
            <w:noWrap w:val="0"/>
            <w:vAlign w:val="center"/>
          </w:tcPr>
          <w:p w14:paraId="61C21C8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一般</w:t>
            </w:r>
          </w:p>
        </w:tc>
        <w:tc>
          <w:tcPr>
            <w:tcW w:w="1363" w:type="dxa"/>
            <w:tcBorders>
              <w:right w:val="nil"/>
            </w:tcBorders>
            <w:shd w:val="clear" w:color="auto" w:fill="D7D7D7"/>
            <w:noWrap w:val="0"/>
            <w:vAlign w:val="center"/>
          </w:tcPr>
          <w:p w14:paraId="58623CF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差</w:t>
            </w:r>
          </w:p>
        </w:tc>
      </w:tr>
      <w:tr w14:paraId="0DEF1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592" w:type="dxa"/>
            <w:tcBorders>
              <w:left w:val="nil"/>
            </w:tcBorders>
            <w:noWrap w:val="0"/>
            <w:vAlign w:val="center"/>
          </w:tcPr>
          <w:p w14:paraId="542B5EF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分值S</w:t>
            </w:r>
          </w:p>
        </w:tc>
        <w:tc>
          <w:tcPr>
            <w:tcW w:w="1264" w:type="dxa"/>
            <w:noWrap w:val="0"/>
            <w:vAlign w:val="center"/>
          </w:tcPr>
          <w:p w14:paraId="6E035FA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S ≥ 90</w:t>
            </w:r>
          </w:p>
        </w:tc>
        <w:tc>
          <w:tcPr>
            <w:tcW w:w="2028" w:type="dxa"/>
            <w:noWrap w:val="0"/>
            <w:vAlign w:val="center"/>
          </w:tcPr>
          <w:p w14:paraId="04D02AE0">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90＞ S ≥ 80</w:t>
            </w:r>
          </w:p>
        </w:tc>
        <w:tc>
          <w:tcPr>
            <w:tcW w:w="2262" w:type="dxa"/>
            <w:noWrap w:val="0"/>
            <w:vAlign w:val="center"/>
          </w:tcPr>
          <w:p w14:paraId="56541FE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80 ＞ S ≥ 60</w:t>
            </w:r>
          </w:p>
        </w:tc>
        <w:tc>
          <w:tcPr>
            <w:tcW w:w="1363" w:type="dxa"/>
            <w:tcBorders>
              <w:right w:val="nil"/>
            </w:tcBorders>
            <w:noWrap w:val="0"/>
            <w:vAlign w:val="center"/>
          </w:tcPr>
          <w:p w14:paraId="36038A8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S ＜ 60</w:t>
            </w:r>
          </w:p>
        </w:tc>
      </w:tr>
    </w:tbl>
    <w:p w14:paraId="2E67FEB0">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（四）绩效评价工作过程</w:t>
      </w:r>
    </w:p>
    <w:p w14:paraId="6422F144">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为了做好本次绩效评价工作，</w:t>
      </w:r>
      <w:r>
        <w:rPr>
          <w:rFonts w:hint="eastAsia" w:ascii="仿宋_GB2312" w:hAnsi="仿宋_GB2312" w:eastAsia="仿宋_GB2312" w:cs="仿宋_GB2312"/>
          <w:color w:val="auto"/>
          <w:sz w:val="32"/>
          <w:szCs w:val="32"/>
          <w:highlight w:val="none"/>
          <w:lang w:val="en-US" w:eastAsia="zh-CN"/>
        </w:rPr>
        <w:t>我们</w:t>
      </w:r>
      <w:r>
        <w:rPr>
          <w:rFonts w:hint="eastAsia" w:ascii="仿宋_GB2312" w:hAnsi="仿宋_GB2312" w:eastAsia="仿宋_GB2312" w:cs="仿宋_GB2312"/>
          <w:color w:val="auto"/>
          <w:sz w:val="32"/>
          <w:szCs w:val="32"/>
          <w:highlight w:val="none"/>
        </w:rPr>
        <w:t>成立绩效评价工作</w:t>
      </w:r>
      <w:r>
        <w:rPr>
          <w:rFonts w:hint="eastAsia" w:ascii="仿宋_GB2312" w:hAnsi="仿宋_GB2312" w:eastAsia="仿宋_GB2312" w:cs="仿宋_GB2312"/>
          <w:color w:val="auto"/>
          <w:sz w:val="32"/>
          <w:szCs w:val="32"/>
          <w:highlight w:val="none"/>
          <w:lang w:eastAsia="zh-CN"/>
        </w:rPr>
        <w:t>小</w:t>
      </w:r>
      <w:r>
        <w:rPr>
          <w:rFonts w:hint="eastAsia" w:ascii="仿宋_GB2312" w:hAnsi="仿宋_GB2312" w:eastAsia="仿宋_GB2312" w:cs="仿宋_GB2312"/>
          <w:color w:val="auto"/>
          <w:sz w:val="32"/>
          <w:szCs w:val="32"/>
          <w:highlight w:val="none"/>
        </w:rPr>
        <w:t>组，</w:t>
      </w:r>
      <w:r>
        <w:rPr>
          <w:rFonts w:hint="eastAsia" w:ascii="仿宋_GB2312" w:hAnsi="仿宋_GB2312" w:eastAsia="仿宋_GB2312" w:cs="仿宋_GB2312"/>
          <w:color w:val="auto"/>
          <w:sz w:val="32"/>
          <w:szCs w:val="32"/>
          <w:highlight w:val="none"/>
          <w:lang w:val="en-US" w:eastAsia="zh-CN"/>
        </w:rPr>
        <w:t>按照</w:t>
      </w:r>
      <w:r>
        <w:rPr>
          <w:rFonts w:hint="eastAsia" w:ascii="仿宋_GB2312" w:hAnsi="仿宋_GB2312" w:eastAsia="仿宋_GB2312" w:cs="仿宋_GB2312"/>
          <w:color w:val="auto"/>
          <w:sz w:val="32"/>
          <w:szCs w:val="32"/>
          <w:highlight w:val="none"/>
        </w:rPr>
        <w:t>准备阶段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实施阶段（</w:t>
      </w:r>
      <w:r>
        <w:rPr>
          <w:rFonts w:hint="default" w:ascii="仿宋_GB2312" w:hAnsi="仿宋_GB2312" w:eastAsia="仿宋_GB2312" w:cs="仿宋_GB2312"/>
          <w:color w:val="auto"/>
          <w:sz w:val="32"/>
          <w:szCs w:val="32"/>
          <w:highlight w:val="none"/>
          <w:lang w:val="en-US" w:eastAsia="zh-CN"/>
        </w:rPr>
        <w:t>资料收集和初审</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现场考察</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数据整理与分析</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综合评价</w:t>
      </w:r>
      <w:r>
        <w:rPr>
          <w:rFonts w:hint="eastAsia" w:ascii="仿宋_GB2312" w:hAnsi="仿宋_GB2312" w:eastAsia="仿宋_GB2312" w:cs="仿宋_GB2312"/>
          <w:color w:val="auto"/>
          <w:sz w:val="32"/>
          <w:szCs w:val="32"/>
          <w:highlight w:val="none"/>
          <w:lang w:val="en-US" w:eastAsia="zh-CN"/>
        </w:rPr>
        <w:t>）、报告撰写与提交阶段（</w:t>
      </w:r>
      <w:r>
        <w:rPr>
          <w:rFonts w:hint="default" w:ascii="仿宋_GB2312" w:hAnsi="仿宋_GB2312" w:eastAsia="仿宋_GB2312" w:cs="仿宋_GB2312"/>
          <w:color w:val="auto"/>
          <w:sz w:val="32"/>
          <w:szCs w:val="32"/>
          <w:highlight w:val="none"/>
          <w:lang w:val="en-US" w:eastAsia="zh-CN"/>
        </w:rPr>
        <w:t>撰写评价报告</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提交报告</w:t>
      </w:r>
      <w:r>
        <w:rPr>
          <w:rFonts w:hint="eastAsia" w:ascii="仿宋_GB2312" w:hAnsi="仿宋_GB2312" w:eastAsia="仿宋_GB2312" w:cs="仿宋_GB2312"/>
          <w:color w:val="auto"/>
          <w:sz w:val="32"/>
          <w:szCs w:val="32"/>
          <w:highlight w:val="none"/>
          <w:lang w:val="en-US" w:eastAsia="zh-CN"/>
        </w:rPr>
        <w:t>等）和</w:t>
      </w:r>
      <w:r>
        <w:rPr>
          <w:rFonts w:hint="default" w:ascii="仿宋_GB2312" w:hAnsi="仿宋_GB2312" w:eastAsia="仿宋_GB2312" w:cs="仿宋_GB2312"/>
          <w:color w:val="auto"/>
          <w:sz w:val="32"/>
          <w:szCs w:val="32"/>
          <w:highlight w:val="none"/>
          <w:lang w:val="en-US" w:eastAsia="zh-CN"/>
        </w:rPr>
        <w:t>结果应用</w:t>
      </w:r>
      <w:r>
        <w:rPr>
          <w:rFonts w:hint="eastAsia" w:ascii="仿宋_GB2312" w:hAnsi="仿宋_GB2312" w:eastAsia="仿宋_GB2312" w:cs="仿宋_GB2312"/>
          <w:color w:val="auto"/>
          <w:sz w:val="32"/>
          <w:szCs w:val="32"/>
          <w:highlight w:val="none"/>
          <w:lang w:val="en-US" w:eastAsia="zh-CN"/>
        </w:rPr>
        <w:t>等四个</w:t>
      </w:r>
      <w:r>
        <w:rPr>
          <w:rFonts w:hint="default" w:ascii="仿宋_GB2312" w:hAnsi="仿宋_GB2312" w:eastAsia="仿宋_GB2312" w:cs="仿宋_GB2312"/>
          <w:color w:val="auto"/>
          <w:sz w:val="32"/>
          <w:szCs w:val="32"/>
          <w:highlight w:val="none"/>
          <w:lang w:val="en-US" w:eastAsia="zh-CN"/>
        </w:rPr>
        <w:t>阶段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采取项目单位自评、收集项目相关资料、数据分析、现场调查和问卷调查相结合的方法开展了现场评价。经过分析研究，并征求相关部门意见，得出该项目绩效评价结论</w:t>
      </w:r>
      <w:r>
        <w:rPr>
          <w:rFonts w:hint="default" w:ascii="仿宋_GB2312" w:hAnsi="仿宋_GB2312" w:eastAsia="仿宋_GB2312" w:cs="仿宋_GB2312"/>
          <w:color w:val="auto"/>
          <w:sz w:val="32"/>
          <w:szCs w:val="32"/>
          <w:highlight w:val="none"/>
          <w:lang w:val="en-US" w:eastAsia="zh-CN"/>
        </w:rPr>
        <w:t>。</w:t>
      </w:r>
    </w:p>
    <w:p w14:paraId="17ECD706">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（五）评价局限性</w:t>
      </w:r>
    </w:p>
    <w:p w14:paraId="56A950B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尽管评价组在评价中力求科学、规范、客观和公正，但在实际评价过程中依然存在局限性：一是由于评价时间、人力等限制，获取数据与信息来源存在局限性；二是评价工作人员知识面、经验等限制，在理解和判断上存在认知局限性；三是受问卷调查覆盖面及被调查者认知、愿望等方面的主观倾向性限制，公众满意度测评结果可能存在一定局限性。</w:t>
      </w:r>
    </w:p>
    <w:p w14:paraId="6121E3F2">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三、综合评价情况及评价结论（附相关评分表） </w:t>
      </w:r>
    </w:p>
    <w:p w14:paraId="3B8D020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宋体" w:eastAsia="仿宋_GB2312" w:cs="仿宋_GB2312"/>
          <w:color w:val="auto"/>
          <w:kern w:val="0"/>
          <w:sz w:val="31"/>
          <w:szCs w:val="31"/>
          <w:highlight w:val="none"/>
          <w:lang w:val="en-US" w:eastAsia="zh-CN" w:bidi="ar"/>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kern w:val="2"/>
          <w:sz w:val="32"/>
          <w:szCs w:val="32"/>
          <w:highlight w:val="none"/>
          <w:lang w:val="en-US" w:eastAsia="zh-CN" w:bidi="ar-SA"/>
        </w:rPr>
        <w:t>2024年扶风县路灯电力线路红绿灯等设施运行维护项目</w:t>
      </w:r>
      <w:r>
        <w:rPr>
          <w:rFonts w:hint="eastAsia" w:ascii="仿宋_GB2312" w:hAnsi="仿宋_GB2312" w:eastAsia="仿宋_GB2312" w:cs="仿宋_GB2312"/>
          <w:color w:val="auto"/>
          <w:sz w:val="32"/>
          <w:szCs w:val="32"/>
          <w:highlight w:val="none"/>
          <w:lang w:val="en-US" w:eastAsia="zh-CN"/>
        </w:rPr>
        <w:t>资金安排符合相关法律、法规及政策要求，符合扶风县社会事业和经济社会高质量发展需要，立项依据充分、程序规范，资金到位及时，预算资金到位率及执行率高，资金使用合规，项目产出数量、质量指标完成较好。但项目实施方案及考核指标不明确，相关管理工作及绩效管理工作不到位；部分路段电力线路由于运行年度较长、负荷不足出现线路老化现象，导致路灯故障率较高。结合单位自评、信息采集、问卷调查等情况，经评价组认真评价，项目绩效评价综合得分86.9分，整体评价结论为良好，详见表5。</w:t>
      </w:r>
    </w:p>
    <w:p w14:paraId="3CA49AB9">
      <w:pPr>
        <w:keepNext w:val="0"/>
        <w:keepLines w:val="0"/>
        <w:widowControl/>
        <w:suppressLineNumbers w:val="0"/>
        <w:ind w:firstLine="849" w:firstLineChars="300"/>
        <w:jc w:val="center"/>
        <w:rPr>
          <w:color w:val="auto"/>
          <w:highlight w:val="none"/>
        </w:rPr>
      </w:pPr>
      <w:r>
        <w:rPr>
          <w:rFonts w:ascii="仿宋_GB2312" w:hAnsi="宋体" w:eastAsia="仿宋_GB2312" w:cs="仿宋_GB2312"/>
          <w:b/>
          <w:bCs/>
          <w:color w:val="auto"/>
          <w:kern w:val="0"/>
          <w:sz w:val="28"/>
          <w:szCs w:val="28"/>
          <w:highlight w:val="none"/>
          <w:lang w:val="en-US" w:eastAsia="zh-CN" w:bidi="ar"/>
        </w:rPr>
        <w:t>表</w:t>
      </w:r>
      <w:r>
        <w:rPr>
          <w:rFonts w:hint="eastAsia" w:ascii="仿宋_GB2312" w:hAnsi="宋体" w:eastAsia="仿宋_GB2312" w:cs="仿宋_GB2312"/>
          <w:b/>
          <w:bCs/>
          <w:color w:val="auto"/>
          <w:kern w:val="0"/>
          <w:sz w:val="28"/>
          <w:szCs w:val="28"/>
          <w:highlight w:val="none"/>
          <w:lang w:val="en-US" w:eastAsia="zh-CN" w:bidi="ar"/>
        </w:rPr>
        <w:t>5   项目</w:t>
      </w:r>
      <w:r>
        <w:rPr>
          <w:rFonts w:ascii="仿宋_GB2312" w:hAnsi="宋体" w:eastAsia="仿宋_GB2312" w:cs="仿宋_GB2312"/>
          <w:b/>
          <w:bCs/>
          <w:color w:val="auto"/>
          <w:kern w:val="0"/>
          <w:sz w:val="28"/>
          <w:szCs w:val="28"/>
          <w:highlight w:val="none"/>
          <w:lang w:val="en-US" w:eastAsia="zh-CN" w:bidi="ar"/>
        </w:rPr>
        <w:t>指标评分表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313"/>
        <w:gridCol w:w="2216"/>
        <w:gridCol w:w="2071"/>
      </w:tblGrid>
      <w:tr w14:paraId="33F4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17" w:type="dxa"/>
            <w:shd w:val="clear" w:color="auto" w:fill="D7D7D7"/>
            <w:noWrap w:val="0"/>
            <w:vAlign w:val="center"/>
          </w:tcPr>
          <w:p w14:paraId="0BE96F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一级指标</w:t>
            </w:r>
          </w:p>
        </w:tc>
        <w:tc>
          <w:tcPr>
            <w:tcW w:w="2313" w:type="dxa"/>
            <w:shd w:val="clear" w:color="auto" w:fill="D7D7D7"/>
            <w:noWrap w:val="0"/>
            <w:vAlign w:val="center"/>
          </w:tcPr>
          <w:p w14:paraId="6F6652C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分值</w:t>
            </w:r>
          </w:p>
        </w:tc>
        <w:tc>
          <w:tcPr>
            <w:tcW w:w="2216" w:type="dxa"/>
            <w:shd w:val="clear" w:color="auto" w:fill="D7D7D7"/>
            <w:noWrap w:val="0"/>
            <w:vAlign w:val="center"/>
          </w:tcPr>
          <w:p w14:paraId="73E5932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w:t>
            </w:r>
          </w:p>
        </w:tc>
        <w:tc>
          <w:tcPr>
            <w:tcW w:w="2071" w:type="dxa"/>
            <w:shd w:val="clear" w:color="auto" w:fill="D7D7D7"/>
            <w:noWrap w:val="0"/>
            <w:vAlign w:val="center"/>
          </w:tcPr>
          <w:p w14:paraId="7615F76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得分率</w:t>
            </w:r>
          </w:p>
        </w:tc>
      </w:tr>
      <w:tr w14:paraId="5BA09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117" w:type="dxa"/>
            <w:noWrap w:val="0"/>
            <w:vAlign w:val="top"/>
          </w:tcPr>
          <w:p w14:paraId="27FE5E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决策</w:t>
            </w:r>
          </w:p>
        </w:tc>
        <w:tc>
          <w:tcPr>
            <w:tcW w:w="2313" w:type="dxa"/>
            <w:noWrap w:val="0"/>
            <w:vAlign w:val="top"/>
          </w:tcPr>
          <w:p w14:paraId="12E6CD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12</w:t>
            </w:r>
          </w:p>
        </w:tc>
        <w:tc>
          <w:tcPr>
            <w:tcW w:w="2216" w:type="dxa"/>
            <w:noWrap w:val="0"/>
            <w:vAlign w:val="top"/>
          </w:tcPr>
          <w:p w14:paraId="2665E8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10.8</w:t>
            </w:r>
          </w:p>
        </w:tc>
        <w:tc>
          <w:tcPr>
            <w:tcW w:w="2071" w:type="dxa"/>
            <w:noWrap w:val="0"/>
            <w:vAlign w:val="top"/>
          </w:tcPr>
          <w:p w14:paraId="6F7FB9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90.00%</w:t>
            </w:r>
          </w:p>
        </w:tc>
      </w:tr>
      <w:tr w14:paraId="5982C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117" w:type="dxa"/>
            <w:noWrap w:val="0"/>
            <w:vAlign w:val="top"/>
          </w:tcPr>
          <w:p w14:paraId="448A1F9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过程</w:t>
            </w:r>
          </w:p>
        </w:tc>
        <w:tc>
          <w:tcPr>
            <w:tcW w:w="2313" w:type="dxa"/>
            <w:noWrap w:val="0"/>
            <w:vAlign w:val="top"/>
          </w:tcPr>
          <w:p w14:paraId="098B98E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15</w:t>
            </w:r>
          </w:p>
        </w:tc>
        <w:tc>
          <w:tcPr>
            <w:tcW w:w="2216" w:type="dxa"/>
            <w:noWrap w:val="0"/>
            <w:vAlign w:val="top"/>
          </w:tcPr>
          <w:p w14:paraId="1E072F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12.6</w:t>
            </w:r>
          </w:p>
        </w:tc>
        <w:tc>
          <w:tcPr>
            <w:tcW w:w="2071" w:type="dxa"/>
            <w:noWrap w:val="0"/>
            <w:vAlign w:val="top"/>
          </w:tcPr>
          <w:p w14:paraId="4F23229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84.00%</w:t>
            </w:r>
          </w:p>
        </w:tc>
      </w:tr>
      <w:tr w14:paraId="53DEB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117" w:type="dxa"/>
            <w:noWrap w:val="0"/>
            <w:vAlign w:val="top"/>
          </w:tcPr>
          <w:p w14:paraId="05995B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成本</w:t>
            </w:r>
          </w:p>
        </w:tc>
        <w:tc>
          <w:tcPr>
            <w:tcW w:w="2313" w:type="dxa"/>
            <w:noWrap w:val="0"/>
            <w:vAlign w:val="top"/>
          </w:tcPr>
          <w:p w14:paraId="325C16A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13</w:t>
            </w:r>
          </w:p>
        </w:tc>
        <w:tc>
          <w:tcPr>
            <w:tcW w:w="2216" w:type="dxa"/>
            <w:noWrap w:val="0"/>
            <w:vAlign w:val="top"/>
          </w:tcPr>
          <w:p w14:paraId="77F93C6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13</w:t>
            </w:r>
          </w:p>
        </w:tc>
        <w:tc>
          <w:tcPr>
            <w:tcW w:w="2071" w:type="dxa"/>
            <w:noWrap w:val="0"/>
            <w:vAlign w:val="top"/>
          </w:tcPr>
          <w:p w14:paraId="0EF143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100%</w:t>
            </w:r>
          </w:p>
        </w:tc>
      </w:tr>
      <w:tr w14:paraId="3D0B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117" w:type="dxa"/>
            <w:noWrap w:val="0"/>
            <w:vAlign w:val="top"/>
          </w:tcPr>
          <w:p w14:paraId="4CC2A1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产出</w:t>
            </w:r>
          </w:p>
        </w:tc>
        <w:tc>
          <w:tcPr>
            <w:tcW w:w="2313" w:type="dxa"/>
            <w:noWrap w:val="0"/>
            <w:vAlign w:val="center"/>
          </w:tcPr>
          <w:p w14:paraId="3117546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25</w:t>
            </w:r>
          </w:p>
        </w:tc>
        <w:tc>
          <w:tcPr>
            <w:tcW w:w="2216" w:type="dxa"/>
            <w:noWrap w:val="0"/>
            <w:vAlign w:val="center"/>
          </w:tcPr>
          <w:p w14:paraId="2037AF3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20.5</w:t>
            </w:r>
          </w:p>
        </w:tc>
        <w:tc>
          <w:tcPr>
            <w:tcW w:w="2071" w:type="dxa"/>
            <w:noWrap w:val="0"/>
            <w:vAlign w:val="top"/>
          </w:tcPr>
          <w:p w14:paraId="4840217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82.00%</w:t>
            </w:r>
          </w:p>
        </w:tc>
      </w:tr>
      <w:tr w14:paraId="535F8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117" w:type="dxa"/>
            <w:noWrap w:val="0"/>
            <w:vAlign w:val="top"/>
          </w:tcPr>
          <w:p w14:paraId="432B2A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效益</w:t>
            </w:r>
          </w:p>
        </w:tc>
        <w:tc>
          <w:tcPr>
            <w:tcW w:w="2313" w:type="dxa"/>
            <w:noWrap w:val="0"/>
            <w:vAlign w:val="center"/>
          </w:tcPr>
          <w:p w14:paraId="359135E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fldChar w:fldCharType="begin"/>
            </w:r>
            <w:r>
              <w:rPr>
                <w:rFonts w:hint="eastAsia" w:ascii="仿宋_GB2312" w:hAnsi="仿宋_GB2312" w:eastAsia="仿宋_GB2312" w:cs="仿宋_GB2312"/>
                <w:b w:val="0"/>
                <w:bCs w:val="0"/>
                <w:color w:val="auto"/>
                <w:kern w:val="0"/>
                <w:sz w:val="24"/>
                <w:szCs w:val="24"/>
                <w:highlight w:val="none"/>
                <w:lang w:val="en-US" w:eastAsia="zh-CN" w:bidi="ar"/>
              </w:rPr>
              <w:instrText xml:space="preserve"> = sum(E2:E9) \* MERGEFORMAT </w:instrText>
            </w:r>
            <w:r>
              <w:rPr>
                <w:rFonts w:hint="eastAsia" w:ascii="仿宋_GB2312" w:hAnsi="仿宋_GB2312" w:eastAsia="仿宋_GB2312" w:cs="仿宋_GB2312"/>
                <w:b w:val="0"/>
                <w:bCs w:val="0"/>
                <w:color w:val="auto"/>
                <w:kern w:val="0"/>
                <w:sz w:val="24"/>
                <w:szCs w:val="24"/>
                <w:highlight w:val="none"/>
                <w:lang w:val="en-US" w:eastAsia="zh-CN" w:bidi="ar"/>
              </w:rPr>
              <w:fldChar w:fldCharType="separate"/>
            </w:r>
            <w:r>
              <w:rPr>
                <w:rFonts w:hint="eastAsia" w:ascii="仿宋_GB2312" w:hAnsi="仿宋_GB2312" w:eastAsia="仿宋_GB2312" w:cs="仿宋_GB2312"/>
                <w:b w:val="0"/>
                <w:bCs w:val="0"/>
                <w:color w:val="auto"/>
                <w:kern w:val="0"/>
                <w:sz w:val="24"/>
                <w:szCs w:val="24"/>
                <w:highlight w:val="none"/>
                <w:lang w:val="en-US" w:eastAsia="zh-CN" w:bidi="ar"/>
              </w:rPr>
              <w:t>35</w:t>
            </w:r>
            <w:r>
              <w:rPr>
                <w:rFonts w:hint="eastAsia" w:ascii="仿宋_GB2312" w:hAnsi="仿宋_GB2312" w:eastAsia="仿宋_GB2312" w:cs="仿宋_GB2312"/>
                <w:b w:val="0"/>
                <w:bCs w:val="0"/>
                <w:color w:val="auto"/>
                <w:kern w:val="0"/>
                <w:sz w:val="24"/>
                <w:szCs w:val="24"/>
                <w:highlight w:val="none"/>
                <w:lang w:val="en-US" w:eastAsia="zh-CN" w:bidi="ar"/>
              </w:rPr>
              <w:fldChar w:fldCharType="end"/>
            </w:r>
          </w:p>
        </w:tc>
        <w:tc>
          <w:tcPr>
            <w:tcW w:w="2216" w:type="dxa"/>
            <w:noWrap w:val="0"/>
            <w:vAlign w:val="center"/>
          </w:tcPr>
          <w:p w14:paraId="37D65A4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30</w:t>
            </w:r>
          </w:p>
        </w:tc>
        <w:tc>
          <w:tcPr>
            <w:tcW w:w="2071" w:type="dxa"/>
            <w:noWrap w:val="0"/>
            <w:vAlign w:val="top"/>
          </w:tcPr>
          <w:p w14:paraId="5D8C964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b w:val="0"/>
                <w:bCs w:val="0"/>
                <w:color w:val="auto"/>
                <w:kern w:val="0"/>
                <w:sz w:val="24"/>
                <w:szCs w:val="24"/>
                <w:highlight w:val="none"/>
                <w:lang w:val="en-US" w:eastAsia="zh-CN" w:bidi="ar"/>
              </w:rPr>
              <w:t>85.71%</w:t>
            </w:r>
          </w:p>
        </w:tc>
      </w:tr>
      <w:tr w14:paraId="63AE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2117" w:type="dxa"/>
            <w:noWrap w:val="0"/>
            <w:vAlign w:val="top"/>
          </w:tcPr>
          <w:p w14:paraId="6B8BCB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宋体" w:eastAsia="仿宋_GB2312" w:cs="仿宋_GB2312"/>
                <w:b/>
                <w:bCs/>
                <w:color w:val="auto"/>
                <w:kern w:val="0"/>
                <w:sz w:val="24"/>
                <w:szCs w:val="24"/>
                <w:highlight w:val="none"/>
                <w:lang w:val="en-US" w:eastAsia="zh-CN" w:bidi="ar"/>
              </w:rPr>
            </w:pPr>
            <w:r>
              <w:rPr>
                <w:rFonts w:hint="eastAsia" w:ascii="仿宋_GB2312" w:hAnsi="宋体" w:eastAsia="仿宋_GB2312" w:cs="仿宋_GB2312"/>
                <w:b/>
                <w:bCs/>
                <w:color w:val="auto"/>
                <w:kern w:val="0"/>
                <w:sz w:val="24"/>
                <w:szCs w:val="24"/>
                <w:highlight w:val="none"/>
                <w:lang w:val="en-US" w:eastAsia="zh-CN" w:bidi="ar"/>
              </w:rPr>
              <w:t>合计</w:t>
            </w:r>
          </w:p>
        </w:tc>
        <w:tc>
          <w:tcPr>
            <w:tcW w:w="2313" w:type="dxa"/>
            <w:noWrap w:val="0"/>
            <w:vAlign w:val="top"/>
          </w:tcPr>
          <w:p w14:paraId="2BA933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fldChar w:fldCharType="begin"/>
            </w:r>
            <w:r>
              <w:rPr>
                <w:rFonts w:hint="eastAsia" w:ascii="仿宋_GB2312" w:hAnsi="仿宋_GB2312" w:eastAsia="仿宋_GB2312" w:cs="仿宋_GB2312"/>
                <w:b/>
                <w:bCs/>
                <w:color w:val="auto"/>
                <w:kern w:val="0"/>
                <w:sz w:val="24"/>
                <w:szCs w:val="24"/>
                <w:highlight w:val="none"/>
                <w:lang w:val="en-US" w:eastAsia="zh-CN" w:bidi="ar"/>
              </w:rPr>
              <w:instrText xml:space="preserve"> = sum(B2:B6) \* MERGEFORMAT </w:instrText>
            </w:r>
            <w:r>
              <w:rPr>
                <w:rFonts w:hint="eastAsia" w:ascii="仿宋_GB2312" w:hAnsi="仿宋_GB2312" w:eastAsia="仿宋_GB2312" w:cs="仿宋_GB2312"/>
                <w:b/>
                <w:bCs/>
                <w:color w:val="auto"/>
                <w:kern w:val="0"/>
                <w:sz w:val="24"/>
                <w:szCs w:val="24"/>
                <w:highlight w:val="none"/>
                <w:lang w:val="en-US" w:eastAsia="zh-CN" w:bidi="ar"/>
              </w:rPr>
              <w:fldChar w:fldCharType="separate"/>
            </w:r>
            <w:r>
              <w:rPr>
                <w:rFonts w:hint="eastAsia" w:ascii="仿宋_GB2312" w:hAnsi="仿宋_GB2312" w:eastAsia="仿宋_GB2312" w:cs="仿宋_GB2312"/>
                <w:b/>
                <w:bCs/>
                <w:color w:val="auto"/>
                <w:kern w:val="0"/>
                <w:sz w:val="24"/>
                <w:szCs w:val="24"/>
                <w:highlight w:val="none"/>
                <w:lang w:val="en-US" w:eastAsia="zh-CN" w:bidi="ar"/>
              </w:rPr>
              <w:t>100</w:t>
            </w:r>
            <w:r>
              <w:rPr>
                <w:rFonts w:hint="eastAsia" w:ascii="仿宋_GB2312" w:hAnsi="仿宋_GB2312" w:eastAsia="仿宋_GB2312" w:cs="仿宋_GB2312"/>
                <w:b/>
                <w:bCs/>
                <w:color w:val="auto"/>
                <w:kern w:val="0"/>
                <w:sz w:val="24"/>
                <w:szCs w:val="24"/>
                <w:highlight w:val="none"/>
                <w:lang w:val="en-US" w:eastAsia="zh-CN" w:bidi="ar"/>
              </w:rPr>
              <w:fldChar w:fldCharType="end"/>
            </w:r>
          </w:p>
        </w:tc>
        <w:tc>
          <w:tcPr>
            <w:tcW w:w="2216" w:type="dxa"/>
            <w:noWrap w:val="0"/>
            <w:vAlign w:val="top"/>
          </w:tcPr>
          <w:p w14:paraId="6334DE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default" w:ascii="仿宋_GB2312" w:hAnsi="仿宋_GB2312" w:eastAsia="仿宋_GB2312" w:cs="仿宋_GB2312"/>
                <w:b/>
                <w:bCs/>
                <w:color w:val="auto"/>
                <w:kern w:val="0"/>
                <w:sz w:val="24"/>
                <w:szCs w:val="24"/>
                <w:highlight w:val="none"/>
                <w:lang w:val="en-US" w:eastAsia="zh-CN" w:bidi="ar"/>
              </w:rPr>
              <w:fldChar w:fldCharType="begin"/>
            </w:r>
            <w:r>
              <w:rPr>
                <w:rFonts w:hint="default" w:ascii="仿宋_GB2312" w:hAnsi="仿宋_GB2312" w:eastAsia="仿宋_GB2312" w:cs="仿宋_GB2312"/>
                <w:b/>
                <w:bCs/>
                <w:color w:val="auto"/>
                <w:kern w:val="0"/>
                <w:sz w:val="24"/>
                <w:szCs w:val="24"/>
                <w:highlight w:val="none"/>
                <w:lang w:val="en-US" w:eastAsia="zh-CN" w:bidi="ar"/>
              </w:rPr>
              <w:instrText xml:space="preserve"> = sum(C2:C6) \* MERGEFORMAT </w:instrText>
            </w:r>
            <w:r>
              <w:rPr>
                <w:rFonts w:hint="default" w:ascii="仿宋_GB2312" w:hAnsi="仿宋_GB2312" w:eastAsia="仿宋_GB2312" w:cs="仿宋_GB2312"/>
                <w:b/>
                <w:bCs/>
                <w:color w:val="auto"/>
                <w:kern w:val="0"/>
                <w:sz w:val="24"/>
                <w:szCs w:val="24"/>
                <w:highlight w:val="none"/>
                <w:lang w:val="en-US" w:eastAsia="zh-CN" w:bidi="ar"/>
              </w:rPr>
              <w:fldChar w:fldCharType="separate"/>
            </w:r>
            <w:r>
              <w:rPr>
                <w:rFonts w:hint="default" w:ascii="仿宋_GB2312" w:hAnsi="仿宋_GB2312" w:eastAsia="仿宋_GB2312" w:cs="仿宋_GB2312"/>
                <w:b/>
                <w:bCs/>
                <w:color w:val="auto"/>
                <w:kern w:val="0"/>
                <w:sz w:val="24"/>
                <w:szCs w:val="24"/>
                <w:highlight w:val="none"/>
                <w:lang w:val="en-US" w:eastAsia="zh-CN" w:bidi="ar"/>
              </w:rPr>
              <w:t>86.9</w:t>
            </w:r>
            <w:r>
              <w:rPr>
                <w:rFonts w:hint="default" w:ascii="仿宋_GB2312" w:hAnsi="仿宋_GB2312" w:eastAsia="仿宋_GB2312" w:cs="仿宋_GB2312"/>
                <w:b/>
                <w:bCs/>
                <w:color w:val="auto"/>
                <w:kern w:val="0"/>
                <w:sz w:val="24"/>
                <w:szCs w:val="24"/>
                <w:highlight w:val="none"/>
                <w:lang w:val="en-US" w:eastAsia="zh-CN" w:bidi="ar"/>
              </w:rPr>
              <w:fldChar w:fldCharType="end"/>
            </w:r>
          </w:p>
        </w:tc>
        <w:tc>
          <w:tcPr>
            <w:tcW w:w="2071" w:type="dxa"/>
            <w:noWrap w:val="0"/>
            <w:vAlign w:val="top"/>
          </w:tcPr>
          <w:p w14:paraId="7209F7C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auto"/>
                <w:kern w:val="0"/>
                <w:sz w:val="24"/>
                <w:szCs w:val="24"/>
                <w:highlight w:val="none"/>
                <w:lang w:val="en-US" w:eastAsia="zh-CN" w:bidi="ar"/>
              </w:rPr>
            </w:pPr>
            <w:r>
              <w:rPr>
                <w:rFonts w:hint="eastAsia" w:ascii="仿宋_GB2312" w:hAnsi="仿宋_GB2312" w:eastAsia="仿宋_GB2312" w:cs="仿宋_GB2312"/>
                <w:b/>
                <w:bCs/>
                <w:color w:val="auto"/>
                <w:kern w:val="0"/>
                <w:sz w:val="24"/>
                <w:szCs w:val="24"/>
                <w:highlight w:val="none"/>
                <w:lang w:val="en-US" w:eastAsia="zh-CN" w:bidi="ar"/>
              </w:rPr>
              <w:t>86.90%</w:t>
            </w:r>
          </w:p>
        </w:tc>
      </w:tr>
      <w:tr w14:paraId="3D2C8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7" w:type="dxa"/>
            <w:gridSpan w:val="4"/>
            <w:noWrap w:val="0"/>
            <w:vAlign w:val="top"/>
          </w:tcPr>
          <w:p w14:paraId="792E283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黑体" w:hAnsi="黑体" w:eastAsia="黑体" w:cs="黑体"/>
                <w:color w:val="auto"/>
                <w:sz w:val="24"/>
                <w:szCs w:val="24"/>
                <w:highlight w:val="none"/>
                <w:vertAlign w:val="baseline"/>
                <w:lang w:val="en-US" w:eastAsia="zh-CN"/>
              </w:rPr>
            </w:pPr>
            <w:r>
              <w:rPr>
                <w:rFonts w:hint="eastAsia" w:ascii="仿宋_GB2312" w:hAnsi="宋体" w:eastAsia="仿宋_GB2312" w:cs="仿宋_GB2312"/>
                <w:b/>
                <w:bCs/>
                <w:color w:val="auto"/>
                <w:kern w:val="0"/>
                <w:sz w:val="24"/>
                <w:szCs w:val="24"/>
                <w:highlight w:val="none"/>
                <w:lang w:val="en-US" w:eastAsia="zh-CN" w:bidi="ar"/>
              </w:rPr>
              <w:t>绩效评价得分：86.9    综合评价结果等级：良好</w:t>
            </w:r>
          </w:p>
        </w:tc>
      </w:tr>
    </w:tbl>
    <w:p w14:paraId="00007929">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四、绩效评价指标分析</w:t>
      </w:r>
    </w:p>
    <w:p w14:paraId="757FCF7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（一）项目决策情况</w:t>
      </w:r>
    </w:p>
    <w:p w14:paraId="06EA043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项目决策</w:t>
      </w:r>
      <w:r>
        <w:rPr>
          <w:rFonts w:hint="eastAsia" w:ascii="仿宋_GB2312" w:hAnsi="仿宋_GB2312" w:eastAsia="仿宋_GB2312" w:cs="仿宋_GB2312"/>
          <w:color w:val="auto"/>
          <w:sz w:val="32"/>
          <w:szCs w:val="32"/>
          <w:highlight w:val="none"/>
        </w:rPr>
        <w:t>从项目立项、绩效目标、</w:t>
      </w:r>
      <w:r>
        <w:rPr>
          <w:rFonts w:hint="eastAsia" w:ascii="仿宋_GB2312" w:hAnsi="仿宋_GB2312" w:eastAsia="仿宋_GB2312" w:cs="仿宋_GB2312"/>
          <w:color w:val="auto"/>
          <w:sz w:val="32"/>
          <w:szCs w:val="32"/>
          <w:highlight w:val="none"/>
          <w:lang w:val="en-US" w:eastAsia="zh-CN"/>
        </w:rPr>
        <w:t>资金投入</w:t>
      </w:r>
      <w:r>
        <w:rPr>
          <w:rFonts w:hint="eastAsia" w:ascii="仿宋_GB2312" w:hAnsi="仿宋_GB2312" w:eastAsia="仿宋_GB2312" w:cs="仿宋_GB2312"/>
          <w:color w:val="auto"/>
          <w:sz w:val="32"/>
          <w:szCs w:val="32"/>
          <w:highlight w:val="none"/>
        </w:rPr>
        <w:t>三个方面进行评价。项目</w:t>
      </w:r>
      <w:r>
        <w:rPr>
          <w:rFonts w:hint="eastAsia" w:ascii="仿宋_GB2312" w:hAnsi="仿宋_GB2312" w:eastAsia="仿宋_GB2312" w:cs="仿宋_GB2312"/>
          <w:color w:val="auto"/>
          <w:sz w:val="32"/>
          <w:szCs w:val="32"/>
          <w:highlight w:val="none"/>
          <w:lang w:val="en-US" w:eastAsia="zh-CN"/>
        </w:rPr>
        <w:t>决策</w:t>
      </w:r>
      <w:r>
        <w:rPr>
          <w:rFonts w:hint="eastAsia" w:ascii="仿宋_GB2312" w:hAnsi="仿宋_GB2312" w:eastAsia="仿宋_GB2312" w:cs="仿宋_GB2312"/>
          <w:color w:val="auto"/>
          <w:sz w:val="32"/>
          <w:szCs w:val="32"/>
          <w:highlight w:val="none"/>
        </w:rPr>
        <w:t>满分</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分，得分</w:t>
      </w:r>
      <w:r>
        <w:rPr>
          <w:rFonts w:hint="eastAsia" w:ascii="仿宋_GB2312" w:hAnsi="仿宋_GB2312" w:eastAsia="仿宋_GB2312" w:cs="仿宋_GB2312"/>
          <w:color w:val="auto"/>
          <w:sz w:val="32"/>
          <w:szCs w:val="32"/>
          <w:highlight w:val="none"/>
          <w:lang w:val="en-US" w:eastAsia="zh-CN"/>
        </w:rPr>
        <w:t>10.8</w:t>
      </w:r>
      <w:r>
        <w:rPr>
          <w:rFonts w:hint="eastAsia" w:ascii="仿宋_GB2312" w:hAnsi="仿宋_GB2312" w:eastAsia="仿宋_GB2312" w:cs="仿宋_GB2312"/>
          <w:color w:val="auto"/>
          <w:sz w:val="32"/>
          <w:szCs w:val="32"/>
          <w:highlight w:val="none"/>
        </w:rPr>
        <w:t>分。具体得分详见表</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w:t>
      </w:r>
    </w:p>
    <w:p w14:paraId="75822475">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Cs/>
          <w:color w:val="auto"/>
          <w:sz w:val="32"/>
          <w:szCs w:val="32"/>
          <w:highlight w:val="none"/>
        </w:rPr>
      </w:pPr>
      <w:r>
        <w:rPr>
          <w:rFonts w:hint="eastAsia" w:ascii="仿宋" w:hAnsi="仿宋" w:eastAsia="仿宋" w:cs="仿宋"/>
          <w:b/>
          <w:bCs/>
          <w:color w:val="auto"/>
          <w:kern w:val="2"/>
          <w:sz w:val="28"/>
          <w:szCs w:val="28"/>
          <w:highlight w:val="none"/>
          <w:lang w:val="en-US" w:eastAsia="zh-CN" w:bidi="ar-SA"/>
        </w:rPr>
        <w:t>表6   项目决策绩效指标分析表</w:t>
      </w:r>
    </w:p>
    <w:tbl>
      <w:tblPr>
        <w:tblStyle w:val="14"/>
        <w:tblW w:w="8759"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804"/>
        <w:gridCol w:w="1607"/>
        <w:gridCol w:w="2829"/>
        <w:gridCol w:w="1082"/>
        <w:gridCol w:w="1082"/>
      </w:tblGrid>
      <w:tr w14:paraId="0D80F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55" w:type="dxa"/>
            <w:tcBorders>
              <w:left w:val="nil"/>
              <w:tl2br w:val="nil"/>
              <w:tr2bl w:val="nil"/>
            </w:tcBorders>
            <w:shd w:val="clear" w:color="auto" w:fill="D7D7D7" w:themeFill="background1" w:themeFillShade="D8"/>
            <w:noWrap w:val="0"/>
            <w:vAlign w:val="center"/>
          </w:tcPr>
          <w:p w14:paraId="0C07D098">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4" w:type="dxa"/>
            <w:tcBorders>
              <w:tl2br w:val="nil"/>
              <w:tr2bl w:val="nil"/>
            </w:tcBorders>
            <w:shd w:val="clear" w:color="auto" w:fill="D7D7D7" w:themeFill="background1" w:themeFillShade="D8"/>
            <w:noWrap w:val="0"/>
            <w:vAlign w:val="center"/>
          </w:tcPr>
          <w:p w14:paraId="433EBD8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607" w:type="dxa"/>
            <w:tcBorders>
              <w:tl2br w:val="nil"/>
              <w:tr2bl w:val="nil"/>
            </w:tcBorders>
            <w:shd w:val="clear" w:color="auto" w:fill="D7D7D7" w:themeFill="background1" w:themeFillShade="D8"/>
            <w:noWrap w:val="0"/>
            <w:vAlign w:val="center"/>
          </w:tcPr>
          <w:p w14:paraId="7C8C430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829" w:type="dxa"/>
            <w:tcBorders>
              <w:tl2br w:val="nil"/>
              <w:tr2bl w:val="nil"/>
            </w:tcBorders>
            <w:shd w:val="clear" w:color="auto" w:fill="D7D7D7" w:themeFill="background1" w:themeFillShade="D8"/>
            <w:noWrap w:val="0"/>
            <w:vAlign w:val="center"/>
          </w:tcPr>
          <w:p w14:paraId="0EA8AB23">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1082" w:type="dxa"/>
            <w:tcBorders>
              <w:tl2br w:val="nil"/>
              <w:tr2bl w:val="nil"/>
            </w:tcBorders>
            <w:shd w:val="clear" w:color="auto" w:fill="D7D7D7" w:themeFill="background1" w:themeFillShade="D8"/>
            <w:noWrap w:val="0"/>
            <w:vAlign w:val="center"/>
          </w:tcPr>
          <w:p w14:paraId="5BD33D84">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082" w:type="dxa"/>
            <w:tcBorders>
              <w:right w:val="nil"/>
              <w:tl2br w:val="nil"/>
              <w:tr2bl w:val="nil"/>
            </w:tcBorders>
            <w:shd w:val="clear" w:color="auto" w:fill="D7D7D7" w:themeFill="background1" w:themeFillShade="D8"/>
            <w:noWrap w:val="0"/>
            <w:vAlign w:val="center"/>
          </w:tcPr>
          <w:p w14:paraId="509039F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1B453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restart"/>
            <w:tcBorders>
              <w:left w:val="nil"/>
              <w:tl2br w:val="nil"/>
              <w:tr2bl w:val="nil"/>
            </w:tcBorders>
            <w:shd w:val="clear" w:color="auto" w:fill="FFFFFF"/>
            <w:noWrap w:val="0"/>
            <w:vAlign w:val="center"/>
          </w:tcPr>
          <w:p w14:paraId="6867E65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决策</w:t>
            </w:r>
          </w:p>
        </w:tc>
        <w:tc>
          <w:tcPr>
            <w:tcW w:w="804" w:type="dxa"/>
            <w:vMerge w:val="restart"/>
            <w:tcBorders>
              <w:tl2br w:val="nil"/>
              <w:tr2bl w:val="nil"/>
            </w:tcBorders>
            <w:shd w:val="clear" w:color="auto" w:fill="FFFFFF"/>
            <w:noWrap w:val="0"/>
            <w:vAlign w:val="center"/>
          </w:tcPr>
          <w:p w14:paraId="5F3664A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12</w:t>
            </w:r>
          </w:p>
        </w:tc>
        <w:tc>
          <w:tcPr>
            <w:tcW w:w="1607" w:type="dxa"/>
            <w:vMerge w:val="restart"/>
            <w:tcBorders>
              <w:tl2br w:val="nil"/>
              <w:tr2bl w:val="nil"/>
            </w:tcBorders>
            <w:shd w:val="clear" w:color="auto" w:fill="FFFFFF"/>
            <w:noWrap w:val="0"/>
            <w:vAlign w:val="center"/>
          </w:tcPr>
          <w:p w14:paraId="74EF88C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项目立项</w:t>
            </w:r>
          </w:p>
        </w:tc>
        <w:tc>
          <w:tcPr>
            <w:tcW w:w="2829" w:type="dxa"/>
            <w:tcBorders>
              <w:tl2br w:val="nil"/>
              <w:tr2bl w:val="nil"/>
            </w:tcBorders>
            <w:shd w:val="clear" w:color="auto" w:fill="FFFFFF"/>
            <w:noWrap w:val="0"/>
            <w:vAlign w:val="center"/>
          </w:tcPr>
          <w:p w14:paraId="0FAC214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立项依据充分性</w:t>
            </w:r>
          </w:p>
        </w:tc>
        <w:tc>
          <w:tcPr>
            <w:tcW w:w="1082" w:type="dxa"/>
            <w:tcBorders>
              <w:tl2br w:val="nil"/>
              <w:tr2bl w:val="nil"/>
            </w:tcBorders>
            <w:shd w:val="clear" w:color="auto" w:fill="FFFFFF"/>
            <w:noWrap w:val="0"/>
            <w:vAlign w:val="center"/>
          </w:tcPr>
          <w:p w14:paraId="2D6E816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13B8449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5488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7515228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6B947E2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6683E42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60CF996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立项程序规范性</w:t>
            </w:r>
          </w:p>
        </w:tc>
        <w:tc>
          <w:tcPr>
            <w:tcW w:w="1082" w:type="dxa"/>
            <w:tcBorders>
              <w:tl2br w:val="nil"/>
              <w:tr2bl w:val="nil"/>
            </w:tcBorders>
            <w:shd w:val="clear" w:color="auto" w:fill="FFFFFF"/>
            <w:noWrap w:val="0"/>
            <w:vAlign w:val="center"/>
          </w:tcPr>
          <w:p w14:paraId="27246AAE">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3C16890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1.6</w:t>
            </w:r>
          </w:p>
        </w:tc>
      </w:tr>
      <w:tr w14:paraId="37FF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6521C36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3161C6E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restart"/>
            <w:tcBorders>
              <w:tl2br w:val="nil"/>
              <w:tr2bl w:val="nil"/>
            </w:tcBorders>
            <w:shd w:val="clear" w:color="auto" w:fill="FFFFFF"/>
            <w:noWrap w:val="0"/>
            <w:vAlign w:val="center"/>
          </w:tcPr>
          <w:p w14:paraId="5B3E830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绩效目标</w:t>
            </w:r>
          </w:p>
        </w:tc>
        <w:tc>
          <w:tcPr>
            <w:tcW w:w="2829" w:type="dxa"/>
            <w:tcBorders>
              <w:tl2br w:val="nil"/>
              <w:tr2bl w:val="nil"/>
            </w:tcBorders>
            <w:shd w:val="clear" w:color="auto" w:fill="FFFFFF"/>
            <w:noWrap w:val="0"/>
            <w:vAlign w:val="center"/>
          </w:tcPr>
          <w:p w14:paraId="630F172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绩效目标合理性</w:t>
            </w:r>
          </w:p>
        </w:tc>
        <w:tc>
          <w:tcPr>
            <w:tcW w:w="1082" w:type="dxa"/>
            <w:tcBorders>
              <w:tl2br w:val="nil"/>
              <w:tr2bl w:val="nil"/>
            </w:tcBorders>
            <w:shd w:val="clear" w:color="auto" w:fill="FFFFFF"/>
            <w:noWrap w:val="0"/>
            <w:vAlign w:val="center"/>
          </w:tcPr>
          <w:p w14:paraId="75D163D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215565C7">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1.6</w:t>
            </w:r>
          </w:p>
        </w:tc>
      </w:tr>
      <w:tr w14:paraId="604E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5EF63D45">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48869CD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3E36032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4D97C5D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绩效指标明确性</w:t>
            </w:r>
          </w:p>
        </w:tc>
        <w:tc>
          <w:tcPr>
            <w:tcW w:w="1082" w:type="dxa"/>
            <w:tcBorders>
              <w:tl2br w:val="nil"/>
              <w:tr2bl w:val="nil"/>
            </w:tcBorders>
            <w:shd w:val="clear" w:color="auto" w:fill="FFFFFF"/>
            <w:noWrap w:val="0"/>
            <w:vAlign w:val="center"/>
          </w:tcPr>
          <w:p w14:paraId="323B3BB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1F6C870D">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1.6</w:t>
            </w:r>
          </w:p>
        </w:tc>
      </w:tr>
      <w:tr w14:paraId="18D2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31CB72B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5A37F46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restart"/>
            <w:tcBorders>
              <w:tl2br w:val="nil"/>
              <w:tr2bl w:val="nil"/>
            </w:tcBorders>
            <w:shd w:val="clear" w:color="auto" w:fill="FFFFFF"/>
            <w:noWrap w:val="0"/>
            <w:vAlign w:val="center"/>
          </w:tcPr>
          <w:p w14:paraId="76AAEE4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资金投入</w:t>
            </w:r>
          </w:p>
        </w:tc>
        <w:tc>
          <w:tcPr>
            <w:tcW w:w="2829" w:type="dxa"/>
            <w:tcBorders>
              <w:tl2br w:val="nil"/>
              <w:tr2bl w:val="nil"/>
            </w:tcBorders>
            <w:shd w:val="clear" w:color="auto" w:fill="FFFFFF"/>
            <w:noWrap w:val="0"/>
            <w:vAlign w:val="center"/>
          </w:tcPr>
          <w:p w14:paraId="7714225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预算编制科学性</w:t>
            </w:r>
          </w:p>
        </w:tc>
        <w:tc>
          <w:tcPr>
            <w:tcW w:w="1082" w:type="dxa"/>
            <w:tcBorders>
              <w:tl2br w:val="nil"/>
              <w:tr2bl w:val="nil"/>
            </w:tcBorders>
            <w:shd w:val="clear" w:color="auto" w:fill="FFFFFF"/>
            <w:noWrap w:val="0"/>
            <w:vAlign w:val="center"/>
          </w:tcPr>
          <w:p w14:paraId="0B8DD0A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009A44BD">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4EEB6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FFFFFF"/>
            <w:noWrap w:val="0"/>
            <w:vAlign w:val="center"/>
          </w:tcPr>
          <w:p w14:paraId="01B0ADD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04" w:type="dxa"/>
            <w:vMerge w:val="continue"/>
            <w:tcBorders>
              <w:tl2br w:val="nil"/>
              <w:tr2bl w:val="nil"/>
            </w:tcBorders>
            <w:shd w:val="clear" w:color="auto" w:fill="FFFFFF"/>
            <w:noWrap w:val="0"/>
            <w:vAlign w:val="center"/>
          </w:tcPr>
          <w:p w14:paraId="0B08A58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607" w:type="dxa"/>
            <w:vMerge w:val="continue"/>
            <w:tcBorders>
              <w:tl2br w:val="nil"/>
              <w:tr2bl w:val="nil"/>
            </w:tcBorders>
            <w:shd w:val="clear" w:color="auto" w:fill="FFFFFF"/>
            <w:noWrap w:val="0"/>
            <w:vAlign w:val="center"/>
          </w:tcPr>
          <w:p w14:paraId="7CEFBE14">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829" w:type="dxa"/>
            <w:tcBorders>
              <w:tl2br w:val="nil"/>
              <w:tr2bl w:val="nil"/>
            </w:tcBorders>
            <w:shd w:val="clear" w:color="auto" w:fill="FFFFFF"/>
            <w:noWrap w:val="0"/>
            <w:vAlign w:val="center"/>
          </w:tcPr>
          <w:p w14:paraId="13DD2DF7">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资金分配合理性</w:t>
            </w:r>
          </w:p>
        </w:tc>
        <w:tc>
          <w:tcPr>
            <w:tcW w:w="1082" w:type="dxa"/>
            <w:tcBorders>
              <w:tl2br w:val="nil"/>
              <w:tr2bl w:val="nil"/>
            </w:tcBorders>
            <w:shd w:val="clear" w:color="auto" w:fill="FFFFFF"/>
            <w:noWrap w:val="0"/>
            <w:vAlign w:val="center"/>
          </w:tcPr>
          <w:p w14:paraId="0AEB845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c>
          <w:tcPr>
            <w:tcW w:w="1082" w:type="dxa"/>
            <w:tcBorders>
              <w:right w:val="nil"/>
              <w:tl2br w:val="nil"/>
              <w:tr2bl w:val="nil"/>
            </w:tcBorders>
            <w:shd w:val="clear" w:color="auto" w:fill="FFFFFF"/>
            <w:noWrap w:val="0"/>
            <w:vAlign w:val="center"/>
          </w:tcPr>
          <w:p w14:paraId="211CBF8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12EE4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tcBorders>
              <w:left w:val="nil"/>
              <w:tl2br w:val="nil"/>
              <w:tr2bl w:val="nil"/>
            </w:tcBorders>
            <w:shd w:val="clear" w:color="auto" w:fill="FFFFFF"/>
            <w:noWrap w:val="0"/>
            <w:vAlign w:val="center"/>
          </w:tcPr>
          <w:p w14:paraId="146F897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合计</w:t>
            </w:r>
          </w:p>
        </w:tc>
        <w:tc>
          <w:tcPr>
            <w:tcW w:w="804" w:type="dxa"/>
            <w:tcBorders>
              <w:tl2br w:val="nil"/>
              <w:tr2bl w:val="nil"/>
            </w:tcBorders>
            <w:shd w:val="clear" w:color="auto" w:fill="FFFFFF"/>
            <w:noWrap w:val="0"/>
            <w:vAlign w:val="center"/>
          </w:tcPr>
          <w:p w14:paraId="1ACA828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12</w:t>
            </w:r>
          </w:p>
        </w:tc>
        <w:tc>
          <w:tcPr>
            <w:tcW w:w="1607" w:type="dxa"/>
            <w:tcBorders>
              <w:tl2br w:val="nil"/>
              <w:tr2bl w:val="nil"/>
            </w:tcBorders>
            <w:shd w:val="clear" w:color="auto" w:fill="FFFFFF"/>
            <w:noWrap w:val="0"/>
            <w:vAlign w:val="center"/>
          </w:tcPr>
          <w:p w14:paraId="64E36BF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t>—</w:t>
            </w:r>
          </w:p>
        </w:tc>
        <w:tc>
          <w:tcPr>
            <w:tcW w:w="2829" w:type="dxa"/>
            <w:tcBorders>
              <w:tl2br w:val="nil"/>
              <w:tr2bl w:val="nil"/>
            </w:tcBorders>
            <w:shd w:val="clear" w:color="auto" w:fill="FFFFFF"/>
            <w:noWrap w:val="0"/>
            <w:vAlign w:val="center"/>
          </w:tcPr>
          <w:p w14:paraId="4491E57C">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p>
        </w:tc>
        <w:tc>
          <w:tcPr>
            <w:tcW w:w="1082" w:type="dxa"/>
            <w:tcBorders>
              <w:tl2br w:val="nil"/>
              <w:tr2bl w:val="nil"/>
            </w:tcBorders>
            <w:shd w:val="clear" w:color="auto" w:fill="FFFFFF"/>
            <w:noWrap w:val="0"/>
            <w:vAlign w:val="center"/>
          </w:tcPr>
          <w:p w14:paraId="081B993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fldChar w:fldCharType="begin"/>
            </w:r>
            <w:r>
              <w:rPr>
                <w:rFonts w:hint="eastAsia" w:ascii="仿宋_GB2312" w:hAnsi="仿宋_GB2312" w:eastAsia="仿宋_GB2312" w:cs="仿宋_GB2312"/>
                <w:b/>
                <w:bCs/>
                <w:color w:val="auto"/>
                <w:sz w:val="24"/>
                <w:szCs w:val="24"/>
                <w:highlight w:val="none"/>
              </w:rPr>
              <w:instrText xml:space="preserve"> = sum(E2:E7) \* MERGEFORMAT </w:instrText>
            </w:r>
            <w:r>
              <w:rPr>
                <w:rFonts w:hint="eastAsia" w:ascii="仿宋_GB2312" w:hAnsi="仿宋_GB2312" w:eastAsia="仿宋_GB2312" w:cs="仿宋_GB2312"/>
                <w:b/>
                <w:bCs/>
                <w:color w:val="auto"/>
                <w:sz w:val="24"/>
                <w:szCs w:val="24"/>
                <w:highlight w:val="none"/>
              </w:rPr>
              <w:fldChar w:fldCharType="separate"/>
            </w:r>
            <w:r>
              <w:rPr>
                <w:rFonts w:hint="eastAsia" w:ascii="仿宋_GB2312" w:hAnsi="仿宋_GB2312" w:eastAsia="仿宋_GB2312" w:cs="仿宋_GB2312"/>
                <w:b/>
                <w:bCs/>
                <w:color w:val="auto"/>
                <w:sz w:val="24"/>
                <w:szCs w:val="24"/>
                <w:highlight w:val="none"/>
              </w:rPr>
              <w:t>12</w:t>
            </w:r>
            <w:r>
              <w:rPr>
                <w:rFonts w:hint="eastAsia" w:ascii="仿宋_GB2312" w:hAnsi="仿宋_GB2312" w:eastAsia="仿宋_GB2312" w:cs="仿宋_GB2312"/>
                <w:b/>
                <w:bCs/>
                <w:color w:val="auto"/>
                <w:sz w:val="24"/>
                <w:szCs w:val="24"/>
                <w:highlight w:val="none"/>
              </w:rPr>
              <w:fldChar w:fldCharType="end"/>
            </w:r>
          </w:p>
        </w:tc>
        <w:tc>
          <w:tcPr>
            <w:tcW w:w="1082" w:type="dxa"/>
            <w:tcBorders>
              <w:right w:val="nil"/>
              <w:tl2br w:val="nil"/>
              <w:tr2bl w:val="nil"/>
            </w:tcBorders>
            <w:shd w:val="clear" w:color="auto" w:fill="FFFFFF"/>
            <w:noWrap w:val="0"/>
            <w:vAlign w:val="center"/>
          </w:tcPr>
          <w:p w14:paraId="62AB3CE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sum(F2:F7)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10.8</w:t>
            </w:r>
            <w:r>
              <w:rPr>
                <w:rFonts w:hint="eastAsia" w:ascii="仿宋_GB2312" w:hAnsi="仿宋_GB2312" w:eastAsia="仿宋_GB2312" w:cs="仿宋_GB2312"/>
                <w:b/>
                <w:bCs/>
                <w:color w:val="auto"/>
                <w:sz w:val="24"/>
                <w:szCs w:val="24"/>
                <w:highlight w:val="none"/>
                <w:lang w:val="en-US" w:eastAsia="zh-CN"/>
              </w:rPr>
              <w:fldChar w:fldCharType="end"/>
            </w:r>
          </w:p>
        </w:tc>
      </w:tr>
    </w:tbl>
    <w:p w14:paraId="23F19A5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1.项目立项方面</w:t>
      </w:r>
    </w:p>
    <w:p w14:paraId="0BFAC73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（1）立项依据充分性方面。项目的立项符合国家相关法律、法规和政策规定，符合国家财政专项资金支持方向，符合扶风县社会事业及经济社会发展的需要。</w:t>
      </w:r>
    </w:p>
    <w:p w14:paraId="50B2DAD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green"/>
          <w:lang w:val="en-US" w:eastAsia="zh-CN"/>
        </w:rPr>
      </w:pPr>
      <w:r>
        <w:rPr>
          <w:rFonts w:hint="eastAsia" w:ascii="仿宋_GB2312" w:hAnsi="仿宋_GB2312" w:eastAsia="仿宋_GB2312" w:cs="仿宋_GB2312"/>
          <w:color w:val="auto"/>
          <w:sz w:val="32"/>
          <w:szCs w:val="32"/>
          <w:highlight w:val="none"/>
          <w:lang w:val="en-US" w:eastAsia="zh-CN"/>
        </w:rPr>
        <w:t>（2）立项程序规范性方面。项目基本能按照规定的申请程序、审核程序、评估程序进行立项，程序规范。但项目实施方案不明确，事前绩效评估等工作存在不足。</w:t>
      </w:r>
    </w:p>
    <w:p w14:paraId="02D5222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2.绩效目标方面</w:t>
      </w:r>
    </w:p>
    <w:p w14:paraId="42AE1CF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（1）绩效目标合理性方面。项目有预期绩效目标，但部分绩效目标设置不合理</w:t>
      </w:r>
      <w:r>
        <w:rPr>
          <w:rFonts w:hint="eastAsia" w:ascii="仿宋_GB2312" w:hAnsi="仿宋_GB2312" w:eastAsia="仿宋_GB2312" w:cs="仿宋_GB2312"/>
          <w:color w:val="auto"/>
          <w:kern w:val="2"/>
          <w:sz w:val="32"/>
          <w:szCs w:val="32"/>
          <w:highlight w:val="none"/>
          <w:lang w:val="en-US" w:eastAsia="zh-CN" w:bidi="ar-SA"/>
        </w:rPr>
        <w:t>。</w:t>
      </w:r>
    </w:p>
    <w:p w14:paraId="2217D08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（2）绩效指标明确性方面。项目有预期绩效目标，但部分绩效目标设置</w:t>
      </w:r>
      <w:r>
        <w:rPr>
          <w:rFonts w:hint="eastAsia" w:ascii="仿宋_GB2312" w:hAnsi="仿宋_GB2312" w:eastAsia="仿宋_GB2312" w:cs="仿宋_GB2312"/>
          <w:color w:val="auto"/>
          <w:kern w:val="2"/>
          <w:sz w:val="32"/>
          <w:szCs w:val="32"/>
          <w:highlight w:val="none"/>
          <w:lang w:val="en-US" w:eastAsia="zh-CN" w:bidi="ar-SA"/>
        </w:rPr>
        <w:t>不明确。</w:t>
      </w:r>
    </w:p>
    <w:p w14:paraId="1CAF171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3.资金投入方面</w:t>
      </w:r>
    </w:p>
    <w:p w14:paraId="5575BCB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（1）预算编制科学性方面。项目概算金额与项目需求执行资金一致，预算精准。</w:t>
      </w:r>
    </w:p>
    <w:p w14:paraId="6EC04DC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（2）资金分配合理性方面。财政安排的预算资金与项目实际需求资金基本一致。</w:t>
      </w:r>
    </w:p>
    <w:p w14:paraId="2F0C3C8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评价组认为，项目决策从整体上看，立项规范、决策依据较为充分，程序合规，预算精准，分配合理，符合相关政策。但项目实施方案不明，部分绩效目标设置不到位，事前绩效评估等工作存在不足。</w:t>
      </w:r>
    </w:p>
    <w:p w14:paraId="267835B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（二）项目过程情况</w:t>
      </w:r>
    </w:p>
    <w:p w14:paraId="1F964770">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项目过程从资金管理和组织实施两个方面进行评价。项目过程满分15分，得分12.6分。具体得分详见表7。</w:t>
      </w:r>
    </w:p>
    <w:p w14:paraId="6D42A5D9">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p>
    <w:p w14:paraId="473EFB9B">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p>
    <w:p w14:paraId="263AC52E">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表7  项目过程绩效指标分析表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812"/>
        <w:gridCol w:w="1563"/>
        <w:gridCol w:w="2660"/>
        <w:gridCol w:w="967"/>
        <w:gridCol w:w="1183"/>
      </w:tblGrid>
      <w:tr w14:paraId="682F1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96" w:type="dxa"/>
            <w:tcBorders>
              <w:left w:val="nil"/>
              <w:tl2br w:val="nil"/>
              <w:tr2bl w:val="nil"/>
            </w:tcBorders>
            <w:shd w:val="clear" w:color="auto" w:fill="D7D7D7"/>
            <w:noWrap w:val="0"/>
            <w:vAlign w:val="center"/>
          </w:tcPr>
          <w:p w14:paraId="46EBD41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2" w:type="dxa"/>
            <w:tcBorders>
              <w:tl2br w:val="nil"/>
              <w:tr2bl w:val="nil"/>
            </w:tcBorders>
            <w:shd w:val="clear" w:color="auto" w:fill="D7D7D7"/>
            <w:noWrap w:val="0"/>
            <w:vAlign w:val="center"/>
          </w:tcPr>
          <w:p w14:paraId="7556E29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563" w:type="dxa"/>
            <w:tcBorders>
              <w:tl2br w:val="nil"/>
              <w:tr2bl w:val="nil"/>
            </w:tcBorders>
            <w:shd w:val="clear" w:color="auto" w:fill="D7D7D7"/>
            <w:noWrap w:val="0"/>
            <w:vAlign w:val="center"/>
          </w:tcPr>
          <w:p w14:paraId="4BCB972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660" w:type="dxa"/>
            <w:tcBorders>
              <w:tl2br w:val="nil"/>
              <w:tr2bl w:val="nil"/>
            </w:tcBorders>
            <w:shd w:val="clear" w:color="auto" w:fill="D7D7D7"/>
            <w:noWrap w:val="0"/>
            <w:vAlign w:val="center"/>
          </w:tcPr>
          <w:p w14:paraId="00010E6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11B7EF5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1DF7DDD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69558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96" w:type="dxa"/>
            <w:vMerge w:val="restart"/>
            <w:tcBorders>
              <w:left w:val="nil"/>
              <w:tl2br w:val="nil"/>
              <w:tr2bl w:val="nil"/>
            </w:tcBorders>
            <w:noWrap w:val="0"/>
            <w:vAlign w:val="center"/>
          </w:tcPr>
          <w:p w14:paraId="4873EFEA">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过程</w:t>
            </w:r>
          </w:p>
        </w:tc>
        <w:tc>
          <w:tcPr>
            <w:tcW w:w="812" w:type="dxa"/>
            <w:vMerge w:val="restart"/>
            <w:tcBorders>
              <w:tl2br w:val="nil"/>
              <w:tr2bl w:val="nil"/>
            </w:tcBorders>
            <w:noWrap w:val="0"/>
            <w:vAlign w:val="center"/>
          </w:tcPr>
          <w:p w14:paraId="633D4D1F">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15</w:t>
            </w:r>
          </w:p>
        </w:tc>
        <w:tc>
          <w:tcPr>
            <w:tcW w:w="1563" w:type="dxa"/>
            <w:vMerge w:val="restart"/>
            <w:tcBorders>
              <w:tl2br w:val="nil"/>
              <w:tr2bl w:val="nil"/>
            </w:tcBorders>
            <w:noWrap w:val="0"/>
            <w:vAlign w:val="center"/>
          </w:tcPr>
          <w:p w14:paraId="1342DA8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资金管理</w:t>
            </w:r>
          </w:p>
        </w:tc>
        <w:tc>
          <w:tcPr>
            <w:tcW w:w="2660" w:type="dxa"/>
            <w:tcBorders>
              <w:tl2br w:val="nil"/>
              <w:tr2bl w:val="nil"/>
            </w:tcBorders>
            <w:noWrap w:val="0"/>
            <w:vAlign w:val="center"/>
          </w:tcPr>
          <w:p w14:paraId="751ED72C">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资金到位率</w:t>
            </w:r>
          </w:p>
        </w:tc>
        <w:tc>
          <w:tcPr>
            <w:tcW w:w="967" w:type="dxa"/>
            <w:tcBorders>
              <w:tl2br w:val="nil"/>
              <w:tr2bl w:val="nil"/>
            </w:tcBorders>
            <w:noWrap w:val="0"/>
            <w:vAlign w:val="center"/>
          </w:tcPr>
          <w:p w14:paraId="558318D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bottom w:val="single" w:color="000000" w:sz="4" w:space="0"/>
              <w:right w:val="nil"/>
              <w:tl2br w:val="nil"/>
              <w:tr2bl w:val="nil"/>
            </w:tcBorders>
            <w:noWrap w:val="0"/>
            <w:vAlign w:val="center"/>
          </w:tcPr>
          <w:p w14:paraId="57B5FF64">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5B1EB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96" w:type="dxa"/>
            <w:vMerge w:val="continue"/>
            <w:tcBorders>
              <w:left w:val="nil"/>
              <w:tl2br w:val="nil"/>
              <w:tr2bl w:val="nil"/>
            </w:tcBorders>
            <w:noWrap w:val="0"/>
            <w:vAlign w:val="center"/>
          </w:tcPr>
          <w:p w14:paraId="6FE3FA3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10DDB8F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57C33BD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5CA971A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预算执行率</w:t>
            </w:r>
          </w:p>
        </w:tc>
        <w:tc>
          <w:tcPr>
            <w:tcW w:w="967" w:type="dxa"/>
            <w:tcBorders>
              <w:tl2br w:val="nil"/>
              <w:tr2bl w:val="nil"/>
            </w:tcBorders>
            <w:noWrap w:val="0"/>
            <w:vAlign w:val="center"/>
          </w:tcPr>
          <w:p w14:paraId="1476DDD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1568F37E">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2F579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96" w:type="dxa"/>
            <w:vMerge w:val="continue"/>
            <w:tcBorders>
              <w:left w:val="nil"/>
              <w:tl2br w:val="nil"/>
              <w:tr2bl w:val="nil"/>
            </w:tcBorders>
            <w:noWrap w:val="0"/>
            <w:vAlign w:val="center"/>
          </w:tcPr>
          <w:p w14:paraId="70E26D49">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5830131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5E246CD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6911891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资金使用合规性</w:t>
            </w:r>
          </w:p>
        </w:tc>
        <w:tc>
          <w:tcPr>
            <w:tcW w:w="967" w:type="dxa"/>
            <w:tcBorders>
              <w:tl2br w:val="nil"/>
              <w:tr2bl w:val="nil"/>
            </w:tcBorders>
            <w:noWrap w:val="0"/>
            <w:vAlign w:val="center"/>
          </w:tcPr>
          <w:p w14:paraId="393B451F">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6EEFA75F">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r>
      <w:tr w14:paraId="483EB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96" w:type="dxa"/>
            <w:vMerge w:val="continue"/>
            <w:tcBorders>
              <w:left w:val="nil"/>
              <w:tl2br w:val="nil"/>
              <w:tr2bl w:val="nil"/>
            </w:tcBorders>
            <w:noWrap w:val="0"/>
            <w:vAlign w:val="center"/>
          </w:tcPr>
          <w:p w14:paraId="326B0A43">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7787BD7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restart"/>
            <w:tcBorders>
              <w:tl2br w:val="nil"/>
              <w:tr2bl w:val="nil"/>
            </w:tcBorders>
            <w:noWrap w:val="0"/>
            <w:vAlign w:val="center"/>
          </w:tcPr>
          <w:p w14:paraId="541FBDB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组织实施</w:t>
            </w:r>
          </w:p>
        </w:tc>
        <w:tc>
          <w:tcPr>
            <w:tcW w:w="2660" w:type="dxa"/>
            <w:tcBorders>
              <w:tl2br w:val="nil"/>
              <w:tr2bl w:val="nil"/>
            </w:tcBorders>
            <w:noWrap w:val="0"/>
            <w:vAlign w:val="center"/>
          </w:tcPr>
          <w:p w14:paraId="1778349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管理制度健全性</w:t>
            </w:r>
          </w:p>
        </w:tc>
        <w:tc>
          <w:tcPr>
            <w:tcW w:w="967" w:type="dxa"/>
            <w:tcBorders>
              <w:tl2br w:val="nil"/>
              <w:tr2bl w:val="nil"/>
            </w:tcBorders>
            <w:noWrap w:val="0"/>
            <w:vAlign w:val="center"/>
          </w:tcPr>
          <w:p w14:paraId="3E42380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2B33E208">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w:t>
            </w:r>
          </w:p>
        </w:tc>
      </w:tr>
      <w:tr w14:paraId="5625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96" w:type="dxa"/>
            <w:vMerge w:val="continue"/>
            <w:tcBorders>
              <w:left w:val="nil"/>
              <w:tl2br w:val="nil"/>
              <w:tr2bl w:val="nil"/>
            </w:tcBorders>
            <w:noWrap w:val="0"/>
            <w:vAlign w:val="center"/>
          </w:tcPr>
          <w:p w14:paraId="3B7CDF18">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812" w:type="dxa"/>
            <w:vMerge w:val="continue"/>
            <w:tcBorders>
              <w:tl2br w:val="nil"/>
              <w:tr2bl w:val="nil"/>
            </w:tcBorders>
            <w:noWrap w:val="0"/>
            <w:vAlign w:val="center"/>
          </w:tcPr>
          <w:p w14:paraId="3AA137DD">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563" w:type="dxa"/>
            <w:vMerge w:val="continue"/>
            <w:tcBorders>
              <w:tl2br w:val="nil"/>
              <w:tr2bl w:val="nil"/>
            </w:tcBorders>
            <w:noWrap w:val="0"/>
            <w:vAlign w:val="center"/>
          </w:tcPr>
          <w:p w14:paraId="2BDC76F1">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2660" w:type="dxa"/>
            <w:tcBorders>
              <w:tl2br w:val="nil"/>
              <w:tr2bl w:val="nil"/>
            </w:tcBorders>
            <w:noWrap w:val="0"/>
            <w:vAlign w:val="center"/>
          </w:tcPr>
          <w:p w14:paraId="7CE91FF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制度执行有效性</w:t>
            </w:r>
          </w:p>
        </w:tc>
        <w:tc>
          <w:tcPr>
            <w:tcW w:w="967" w:type="dxa"/>
            <w:tcBorders>
              <w:tl2br w:val="nil"/>
              <w:tr2bl w:val="nil"/>
            </w:tcBorders>
            <w:noWrap w:val="0"/>
            <w:vAlign w:val="center"/>
          </w:tcPr>
          <w:p w14:paraId="086AE6F6">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2AE8CE7D">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1.6</w:t>
            </w:r>
          </w:p>
        </w:tc>
      </w:tr>
      <w:tr w14:paraId="26CE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1496" w:type="dxa"/>
            <w:tcBorders>
              <w:left w:val="nil"/>
              <w:tl2br w:val="nil"/>
              <w:tr2bl w:val="nil"/>
            </w:tcBorders>
            <w:noWrap w:val="0"/>
            <w:vAlign w:val="center"/>
          </w:tcPr>
          <w:p w14:paraId="46BE4BB0">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812" w:type="dxa"/>
            <w:tcBorders>
              <w:tl2br w:val="nil"/>
              <w:tr2bl w:val="nil"/>
            </w:tcBorders>
            <w:noWrap w:val="0"/>
            <w:vAlign w:val="center"/>
          </w:tcPr>
          <w:p w14:paraId="08E9C762">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15</w:t>
            </w:r>
          </w:p>
        </w:tc>
        <w:tc>
          <w:tcPr>
            <w:tcW w:w="1563" w:type="dxa"/>
            <w:tcBorders>
              <w:tl2br w:val="nil"/>
              <w:tr2bl w:val="nil"/>
            </w:tcBorders>
            <w:noWrap w:val="0"/>
            <w:vAlign w:val="center"/>
          </w:tcPr>
          <w:p w14:paraId="7B739B0C">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w:t>
            </w:r>
          </w:p>
        </w:tc>
        <w:tc>
          <w:tcPr>
            <w:tcW w:w="2660" w:type="dxa"/>
            <w:tcBorders>
              <w:tl2br w:val="nil"/>
              <w:tr2bl w:val="nil"/>
            </w:tcBorders>
            <w:noWrap w:val="0"/>
            <w:vAlign w:val="center"/>
          </w:tcPr>
          <w:p w14:paraId="25507DBE">
            <w:pPr>
              <w:keepNext w:val="0"/>
              <w:keepLines w:val="0"/>
              <w:widowControl/>
              <w:suppressLineNumbers w:val="0"/>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w:t>
            </w:r>
          </w:p>
        </w:tc>
        <w:tc>
          <w:tcPr>
            <w:tcW w:w="967" w:type="dxa"/>
            <w:tcBorders>
              <w:tl2br w:val="nil"/>
              <w:tr2bl w:val="nil"/>
            </w:tcBorders>
            <w:noWrap w:val="0"/>
            <w:vAlign w:val="center"/>
          </w:tcPr>
          <w:p w14:paraId="747C082C">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15</w:t>
            </w:r>
          </w:p>
        </w:tc>
        <w:tc>
          <w:tcPr>
            <w:tcW w:w="1183" w:type="dxa"/>
            <w:tcBorders>
              <w:right w:val="nil"/>
              <w:tl2br w:val="nil"/>
              <w:tr2bl w:val="nil"/>
            </w:tcBorders>
            <w:noWrap w:val="0"/>
            <w:vAlign w:val="center"/>
          </w:tcPr>
          <w:p w14:paraId="44FF3667">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begin"/>
            </w:r>
            <w:r>
              <w:rPr>
                <w:rFonts w:hint="default" w:ascii="仿宋_GB2312" w:hAnsi="仿宋_GB2312" w:eastAsia="仿宋_GB2312" w:cs="仿宋_GB2312"/>
                <w:b/>
                <w:bCs/>
                <w:i w:val="0"/>
                <w:iCs w:val="0"/>
                <w:color w:val="auto"/>
                <w:kern w:val="0"/>
                <w:sz w:val="24"/>
                <w:szCs w:val="24"/>
                <w:highlight w:val="none"/>
                <w:u w:val="none"/>
                <w:lang w:val="en-US" w:eastAsia="zh-CN" w:bidi="ar"/>
              </w:rPr>
              <w:instrText xml:space="preserve"> = sum(F2:F6) \* MERGEFORMAT </w:instrText>
            </w: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separate"/>
            </w:r>
            <w:r>
              <w:rPr>
                <w:rFonts w:hint="default" w:ascii="仿宋_GB2312" w:hAnsi="仿宋_GB2312" w:eastAsia="仿宋_GB2312" w:cs="仿宋_GB2312"/>
                <w:b/>
                <w:bCs/>
                <w:i w:val="0"/>
                <w:iCs w:val="0"/>
                <w:color w:val="auto"/>
                <w:kern w:val="0"/>
                <w:sz w:val="24"/>
                <w:szCs w:val="24"/>
                <w:highlight w:val="none"/>
                <w:u w:val="none"/>
                <w:lang w:val="en-US" w:eastAsia="zh-CN" w:bidi="ar"/>
              </w:rPr>
              <w:t>12.6</w:t>
            </w:r>
            <w:r>
              <w:rPr>
                <w:rFonts w:hint="default" w:ascii="仿宋_GB2312" w:hAnsi="仿宋_GB2312" w:eastAsia="仿宋_GB2312" w:cs="仿宋_GB2312"/>
                <w:b/>
                <w:bCs/>
                <w:i w:val="0"/>
                <w:iCs w:val="0"/>
                <w:color w:val="auto"/>
                <w:kern w:val="0"/>
                <w:sz w:val="24"/>
                <w:szCs w:val="24"/>
                <w:highlight w:val="none"/>
                <w:u w:val="none"/>
                <w:lang w:val="en-US" w:eastAsia="zh-CN" w:bidi="ar"/>
              </w:rPr>
              <w:fldChar w:fldCharType="end"/>
            </w:r>
          </w:p>
        </w:tc>
      </w:tr>
    </w:tbl>
    <w:p w14:paraId="0E987F9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1.资金管理方面</w:t>
      </w:r>
    </w:p>
    <w:p w14:paraId="63910AA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（1）资金到位率方面。财政部门能按计划将资金（360.00万元）及时拨付到位，预算资金到位率100%。</w:t>
      </w:r>
    </w:p>
    <w:p w14:paraId="7BFC343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（2）预算执行率方面。截至2024年12月31日，</w:t>
      </w:r>
      <w:r>
        <w:rPr>
          <w:rFonts w:hint="eastAsia" w:ascii="仿宋_GB2312" w:hAnsi="仿宋_GB2312" w:eastAsia="仿宋_GB2312" w:cs="仿宋_GB2312"/>
          <w:color w:val="auto"/>
          <w:kern w:val="2"/>
          <w:sz w:val="32"/>
          <w:szCs w:val="32"/>
          <w:highlight w:val="none"/>
          <w:lang w:val="en-US" w:eastAsia="zh-CN" w:bidi="ar-SA"/>
        </w:rPr>
        <w:t>项目共支出各项资金360.00万元,预算资金执行率为100%。</w:t>
      </w:r>
    </w:p>
    <w:p w14:paraId="0BA8410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（3）资金使用合规性方面。项目资金支出符合国家有关政策及其专项资金管理办法等相关规定，手续齐全，未发现资金截留、挤占、挪用、虚列支出等现象。</w:t>
      </w:r>
    </w:p>
    <w:p w14:paraId="63579A9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2.组织实施方面</w:t>
      </w:r>
    </w:p>
    <w:p w14:paraId="27D1935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（1）管理制度健全性方面。项目各相关单位有相关管理制度，但仍存在一些不足。一是制度不够规范；二是</w:t>
      </w:r>
      <w:r>
        <w:rPr>
          <w:rFonts w:hint="eastAsia" w:ascii="仿宋_GB2312" w:hAnsi="仿宋_GB2312" w:eastAsia="仿宋_GB2312" w:cs="仿宋_GB2312"/>
          <w:color w:val="auto"/>
          <w:kern w:val="2"/>
          <w:sz w:val="32"/>
          <w:szCs w:val="32"/>
          <w:highlight w:val="none"/>
          <w:lang w:val="en-US" w:eastAsia="zh-CN"/>
        </w:rPr>
        <w:t>未建立考评机制及考核指标体系</w:t>
      </w:r>
      <w:r>
        <w:rPr>
          <w:rFonts w:hint="eastAsia" w:ascii="仿宋_GB2312" w:hAnsi="仿宋_GB2312" w:eastAsia="仿宋_GB2312" w:cs="仿宋_GB2312"/>
          <w:color w:val="auto"/>
          <w:sz w:val="32"/>
          <w:szCs w:val="32"/>
          <w:highlight w:val="none"/>
          <w:lang w:val="en-US" w:eastAsia="zh-CN"/>
        </w:rPr>
        <w:t>。</w:t>
      </w:r>
    </w:p>
    <w:p w14:paraId="2EDA097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（2）制度执行有效性方面。项目单位能遵守相关法律法规和相关管理规定，做好项目实施和财务管理工作。但在制度执行方面仍存在一些不足。一</w:t>
      </w:r>
      <w:r>
        <w:rPr>
          <w:rFonts w:hint="eastAsia" w:ascii="仿宋_GB2312" w:hAnsi="仿宋_GB2312" w:eastAsia="仿宋_GB2312" w:cs="仿宋_GB2312"/>
          <w:color w:val="auto"/>
          <w:kern w:val="2"/>
          <w:sz w:val="32"/>
          <w:szCs w:val="32"/>
          <w:highlight w:val="none"/>
          <w:lang w:val="en-US" w:eastAsia="zh-CN" w:bidi="ar-SA"/>
        </w:rPr>
        <w:t>是项目相关管理不到位，</w:t>
      </w:r>
      <w:r>
        <w:rPr>
          <w:rFonts w:hint="eastAsia" w:ascii="仿宋_GB2312" w:hAnsi="仿宋_GB2312" w:eastAsia="仿宋_GB2312" w:cs="仿宋_GB2312"/>
          <w:color w:val="auto"/>
          <w:sz w:val="32"/>
          <w:szCs w:val="32"/>
          <w:highlight w:val="none"/>
          <w:lang w:val="en-US" w:eastAsia="zh-CN"/>
        </w:rPr>
        <w:t>主要是制度检查、考核等记录资料不够完整。</w:t>
      </w:r>
      <w:r>
        <w:rPr>
          <w:rFonts w:hint="eastAsia" w:ascii="仿宋_GB2312" w:hAnsi="仿宋_GB2312" w:eastAsia="仿宋_GB2312" w:cs="仿宋_GB2312"/>
          <w:color w:val="auto"/>
          <w:kern w:val="2"/>
          <w:sz w:val="32"/>
          <w:szCs w:val="32"/>
          <w:highlight w:val="none"/>
          <w:lang w:val="en-US" w:eastAsia="zh-CN"/>
        </w:rPr>
        <w:t>二项目相关资料档案不健全。四</w:t>
      </w:r>
      <w:r>
        <w:rPr>
          <w:rFonts w:hint="eastAsia" w:ascii="仿宋_GB2312" w:hAnsi="仿宋_GB2312" w:eastAsia="仿宋_GB2312" w:cs="仿宋_GB2312"/>
          <w:color w:val="auto"/>
          <w:sz w:val="32"/>
          <w:szCs w:val="32"/>
          <w:highlight w:val="none"/>
          <w:lang w:val="en-US" w:eastAsia="zh-CN"/>
        </w:rPr>
        <w:t>是项目绩效管理工作不够到位，</w:t>
      </w:r>
      <w:r>
        <w:rPr>
          <w:rFonts w:hint="eastAsia" w:ascii="仿宋_GB2312" w:hAnsi="仿宋_GB2312" w:eastAsia="仿宋_GB2312" w:cs="仿宋_GB2312"/>
          <w:color w:val="auto"/>
          <w:kern w:val="2"/>
          <w:sz w:val="32"/>
          <w:szCs w:val="32"/>
          <w:highlight w:val="none"/>
          <w:lang w:val="en-US" w:eastAsia="zh-CN"/>
        </w:rPr>
        <w:t>未对项目实施执行情况进行必要的绩效考核，</w:t>
      </w:r>
      <w:r>
        <w:rPr>
          <w:rFonts w:hint="eastAsia" w:ascii="仿宋_GB2312" w:hAnsi="仿宋_GB2312" w:eastAsia="仿宋_GB2312" w:cs="仿宋_GB2312"/>
          <w:color w:val="auto"/>
          <w:sz w:val="32"/>
          <w:szCs w:val="32"/>
          <w:highlight w:val="none"/>
          <w:lang w:val="en-US" w:eastAsia="zh-CN"/>
        </w:rPr>
        <w:t>项目总结、自评等工作不够规范、不够详实。</w:t>
      </w:r>
    </w:p>
    <w:p w14:paraId="3967A43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过程从整体上看，项目资金管理规范，资金到位率高，资金使用合规，预算执行率高。但仍存在相关制度不够健全，制度执行不足，考核不到位，项目总结、自评及信息采集工作不够规范等问题。</w:t>
      </w:r>
    </w:p>
    <w:p w14:paraId="3A1D876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（三）项目成本控制情况</w:t>
      </w:r>
    </w:p>
    <w:p w14:paraId="590DF4C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val="0"/>
          <w:bCs w:val="0"/>
          <w:color w:val="auto"/>
          <w:sz w:val="32"/>
          <w:szCs w:val="32"/>
          <w:highlight w:val="none"/>
        </w:rPr>
      </w:pPr>
      <w:r>
        <w:rPr>
          <w:rFonts w:hint="eastAsia" w:ascii="仿宋_GB2312" w:hAnsi="仿宋_GB2312" w:eastAsia="仿宋_GB2312" w:cs="仿宋_GB2312"/>
          <w:color w:val="auto"/>
          <w:sz w:val="32"/>
          <w:szCs w:val="32"/>
          <w:highlight w:val="none"/>
          <w:lang w:val="en-US" w:eastAsia="zh-CN"/>
        </w:rPr>
        <w:t>项目成本从经济成本、社会成本、生态环境成本三个方面进行评价。项目成本满分13分，得分13分。具体得分详见表8。</w:t>
      </w:r>
    </w:p>
    <w:p w14:paraId="4F399AA2">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表8  项目成本绩效指标分析表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700"/>
        <w:gridCol w:w="1699"/>
        <w:gridCol w:w="3182"/>
        <w:gridCol w:w="932"/>
        <w:gridCol w:w="972"/>
      </w:tblGrid>
      <w:tr w14:paraId="493DF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96" w:type="dxa"/>
            <w:tcBorders>
              <w:left w:val="nil"/>
              <w:tl2br w:val="nil"/>
              <w:tr2bl w:val="nil"/>
            </w:tcBorders>
            <w:shd w:val="clear" w:color="auto" w:fill="D7D7D7"/>
            <w:noWrap w:val="0"/>
            <w:vAlign w:val="center"/>
          </w:tcPr>
          <w:p w14:paraId="528D623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700" w:type="dxa"/>
            <w:tcBorders>
              <w:tl2br w:val="nil"/>
              <w:tr2bl w:val="nil"/>
            </w:tcBorders>
            <w:shd w:val="clear" w:color="auto" w:fill="D7D7D7"/>
            <w:noWrap w:val="0"/>
            <w:vAlign w:val="center"/>
          </w:tcPr>
          <w:p w14:paraId="5CF5AA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99" w:type="dxa"/>
            <w:tcBorders>
              <w:tl2br w:val="nil"/>
              <w:tr2bl w:val="nil"/>
            </w:tcBorders>
            <w:shd w:val="clear" w:color="auto" w:fill="D7D7D7"/>
            <w:noWrap w:val="0"/>
            <w:vAlign w:val="center"/>
          </w:tcPr>
          <w:p w14:paraId="0E9D1E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3182" w:type="dxa"/>
            <w:tcBorders>
              <w:tl2br w:val="nil"/>
              <w:tr2bl w:val="nil"/>
            </w:tcBorders>
            <w:shd w:val="clear" w:color="auto" w:fill="D7D7D7"/>
            <w:noWrap w:val="0"/>
            <w:vAlign w:val="center"/>
          </w:tcPr>
          <w:p w14:paraId="589D5C4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32" w:type="dxa"/>
            <w:tcBorders>
              <w:tl2br w:val="nil"/>
              <w:tr2bl w:val="nil"/>
            </w:tcBorders>
            <w:shd w:val="clear" w:color="auto" w:fill="D7D7D7"/>
            <w:noWrap w:val="0"/>
            <w:vAlign w:val="center"/>
          </w:tcPr>
          <w:p w14:paraId="079360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972" w:type="dxa"/>
            <w:tcBorders>
              <w:right w:val="nil"/>
              <w:tl2br w:val="nil"/>
              <w:tr2bl w:val="nil"/>
            </w:tcBorders>
            <w:shd w:val="clear" w:color="auto" w:fill="D7D7D7"/>
            <w:noWrap w:val="0"/>
            <w:vAlign w:val="center"/>
          </w:tcPr>
          <w:p w14:paraId="051740F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62E6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196" w:type="dxa"/>
            <w:vMerge w:val="restart"/>
            <w:tcBorders>
              <w:left w:val="nil"/>
              <w:tl2br w:val="nil"/>
              <w:tr2bl w:val="nil"/>
            </w:tcBorders>
            <w:noWrap w:val="0"/>
            <w:vAlign w:val="center"/>
          </w:tcPr>
          <w:p w14:paraId="2FE09A3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成本</w:t>
            </w:r>
          </w:p>
        </w:tc>
        <w:tc>
          <w:tcPr>
            <w:tcW w:w="700" w:type="dxa"/>
            <w:vMerge w:val="restart"/>
            <w:tcBorders>
              <w:tl2br w:val="nil"/>
              <w:tr2bl w:val="nil"/>
            </w:tcBorders>
            <w:noWrap w:val="0"/>
            <w:vAlign w:val="center"/>
          </w:tcPr>
          <w:p w14:paraId="1DF5565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13</w:t>
            </w:r>
          </w:p>
        </w:tc>
        <w:tc>
          <w:tcPr>
            <w:tcW w:w="1699" w:type="dxa"/>
            <w:tcBorders>
              <w:tl2br w:val="nil"/>
              <w:tr2bl w:val="nil"/>
            </w:tcBorders>
            <w:noWrap w:val="0"/>
            <w:vAlign w:val="center"/>
          </w:tcPr>
          <w:p w14:paraId="2C5140B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经济成本</w:t>
            </w:r>
          </w:p>
        </w:tc>
        <w:tc>
          <w:tcPr>
            <w:tcW w:w="3182" w:type="dxa"/>
            <w:tcBorders>
              <w:tl2br w:val="nil"/>
              <w:tr2bl w:val="nil"/>
            </w:tcBorders>
            <w:noWrap w:val="0"/>
            <w:vAlign w:val="center"/>
          </w:tcPr>
          <w:p w14:paraId="0ED9C89E">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单位成本或分项成本节约率</w:t>
            </w:r>
          </w:p>
        </w:tc>
        <w:tc>
          <w:tcPr>
            <w:tcW w:w="932" w:type="dxa"/>
            <w:tcBorders>
              <w:tl2br w:val="nil"/>
              <w:tr2bl w:val="nil"/>
            </w:tcBorders>
            <w:noWrap w:val="0"/>
            <w:vAlign w:val="center"/>
          </w:tcPr>
          <w:p w14:paraId="1660F34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c>
          <w:tcPr>
            <w:tcW w:w="972" w:type="dxa"/>
            <w:tcBorders>
              <w:bottom w:val="single" w:color="000000" w:sz="4" w:space="0"/>
              <w:right w:val="nil"/>
              <w:tl2br w:val="nil"/>
              <w:tr2bl w:val="nil"/>
            </w:tcBorders>
            <w:noWrap w:val="0"/>
            <w:vAlign w:val="center"/>
          </w:tcPr>
          <w:p w14:paraId="5470C648">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r>
      <w:tr w14:paraId="3614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196" w:type="dxa"/>
            <w:vMerge w:val="continue"/>
            <w:tcBorders>
              <w:left w:val="nil"/>
              <w:tl2br w:val="nil"/>
              <w:tr2bl w:val="nil"/>
            </w:tcBorders>
            <w:noWrap w:val="0"/>
            <w:vAlign w:val="center"/>
          </w:tcPr>
          <w:p w14:paraId="4C2B654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700" w:type="dxa"/>
            <w:vMerge w:val="continue"/>
            <w:tcBorders>
              <w:tl2br w:val="nil"/>
              <w:tr2bl w:val="nil"/>
            </w:tcBorders>
            <w:noWrap w:val="0"/>
            <w:vAlign w:val="center"/>
          </w:tcPr>
          <w:p w14:paraId="0A0193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99" w:type="dxa"/>
            <w:tcBorders>
              <w:tl2br w:val="nil"/>
              <w:tr2bl w:val="nil"/>
            </w:tcBorders>
            <w:noWrap w:val="0"/>
            <w:vAlign w:val="center"/>
          </w:tcPr>
          <w:p w14:paraId="6E70F0A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社会成本</w:t>
            </w:r>
          </w:p>
        </w:tc>
        <w:tc>
          <w:tcPr>
            <w:tcW w:w="3182" w:type="dxa"/>
            <w:tcBorders>
              <w:tl2br w:val="nil"/>
              <w:tr2bl w:val="nil"/>
            </w:tcBorders>
            <w:noWrap w:val="0"/>
            <w:vAlign w:val="center"/>
          </w:tcPr>
          <w:p w14:paraId="1DCEF72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公众支持和认可情况</w:t>
            </w:r>
          </w:p>
        </w:tc>
        <w:tc>
          <w:tcPr>
            <w:tcW w:w="932" w:type="dxa"/>
            <w:tcBorders>
              <w:tl2br w:val="nil"/>
              <w:tr2bl w:val="nil"/>
            </w:tcBorders>
            <w:noWrap w:val="0"/>
            <w:vAlign w:val="center"/>
          </w:tcPr>
          <w:p w14:paraId="7E16D45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972" w:type="dxa"/>
            <w:tcBorders>
              <w:top w:val="single" w:color="000000" w:sz="4" w:space="0"/>
              <w:bottom w:val="single" w:color="000000" w:sz="4" w:space="0"/>
              <w:right w:val="nil"/>
              <w:tl2br w:val="nil"/>
              <w:tr2bl w:val="nil"/>
            </w:tcBorders>
            <w:noWrap w:val="0"/>
            <w:vAlign w:val="center"/>
          </w:tcPr>
          <w:p w14:paraId="6B7FC027">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5FD1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96" w:type="dxa"/>
            <w:vMerge w:val="continue"/>
            <w:tcBorders>
              <w:left w:val="nil"/>
              <w:tl2br w:val="nil"/>
              <w:tr2bl w:val="nil"/>
            </w:tcBorders>
            <w:noWrap w:val="0"/>
            <w:vAlign w:val="center"/>
          </w:tcPr>
          <w:p w14:paraId="49BF349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p>
        </w:tc>
        <w:tc>
          <w:tcPr>
            <w:tcW w:w="700" w:type="dxa"/>
            <w:vMerge w:val="continue"/>
            <w:tcBorders>
              <w:tl2br w:val="nil"/>
              <w:tr2bl w:val="nil"/>
            </w:tcBorders>
            <w:noWrap w:val="0"/>
            <w:vAlign w:val="center"/>
          </w:tcPr>
          <w:p w14:paraId="2788A7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p>
        </w:tc>
        <w:tc>
          <w:tcPr>
            <w:tcW w:w="1699" w:type="dxa"/>
            <w:tcBorders>
              <w:tl2br w:val="nil"/>
              <w:tr2bl w:val="nil"/>
            </w:tcBorders>
            <w:noWrap w:val="0"/>
            <w:vAlign w:val="center"/>
          </w:tcPr>
          <w:p w14:paraId="2B6426B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生态环境成本</w:t>
            </w:r>
          </w:p>
        </w:tc>
        <w:tc>
          <w:tcPr>
            <w:tcW w:w="3182" w:type="dxa"/>
            <w:tcBorders>
              <w:tl2br w:val="nil"/>
              <w:tr2bl w:val="nil"/>
            </w:tcBorders>
            <w:noWrap w:val="0"/>
            <w:vAlign w:val="center"/>
          </w:tcPr>
          <w:p w14:paraId="7BA928CA">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自然生态环境负作用</w:t>
            </w:r>
          </w:p>
        </w:tc>
        <w:tc>
          <w:tcPr>
            <w:tcW w:w="932" w:type="dxa"/>
            <w:tcBorders>
              <w:tl2br w:val="nil"/>
              <w:tr2bl w:val="nil"/>
            </w:tcBorders>
            <w:noWrap w:val="0"/>
            <w:vAlign w:val="center"/>
          </w:tcPr>
          <w:p w14:paraId="1303765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c>
          <w:tcPr>
            <w:tcW w:w="972" w:type="dxa"/>
            <w:tcBorders>
              <w:top w:val="single" w:color="000000" w:sz="4" w:space="0"/>
              <w:right w:val="nil"/>
              <w:tl2br w:val="nil"/>
              <w:tr2bl w:val="nil"/>
            </w:tcBorders>
            <w:noWrap w:val="0"/>
            <w:vAlign w:val="center"/>
          </w:tcPr>
          <w:p w14:paraId="02DD916C">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28D98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4" w:hRule="atLeast"/>
        </w:trPr>
        <w:tc>
          <w:tcPr>
            <w:tcW w:w="1196" w:type="dxa"/>
            <w:tcBorders>
              <w:left w:val="nil"/>
              <w:tl2br w:val="nil"/>
              <w:tr2bl w:val="nil"/>
            </w:tcBorders>
            <w:noWrap w:val="0"/>
            <w:vAlign w:val="center"/>
          </w:tcPr>
          <w:p w14:paraId="7EA5FF8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700" w:type="dxa"/>
            <w:tcBorders>
              <w:tl2br w:val="nil"/>
              <w:tr2bl w:val="nil"/>
            </w:tcBorders>
            <w:noWrap w:val="0"/>
            <w:vAlign w:val="center"/>
          </w:tcPr>
          <w:p w14:paraId="2E996AE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c>
          <w:tcPr>
            <w:tcW w:w="1699" w:type="dxa"/>
            <w:tcBorders>
              <w:tl2br w:val="nil"/>
              <w:tr2bl w:val="nil"/>
            </w:tcBorders>
            <w:noWrap w:val="0"/>
            <w:vAlign w:val="center"/>
          </w:tcPr>
          <w:p w14:paraId="2886910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3182" w:type="dxa"/>
            <w:tcBorders>
              <w:tl2br w:val="nil"/>
              <w:tr2bl w:val="nil"/>
            </w:tcBorders>
            <w:noWrap w:val="0"/>
            <w:vAlign w:val="center"/>
          </w:tcPr>
          <w:p w14:paraId="56EC903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32" w:type="dxa"/>
            <w:tcBorders>
              <w:tl2br w:val="nil"/>
              <w:tr2bl w:val="nil"/>
            </w:tcBorders>
            <w:noWrap w:val="0"/>
            <w:vAlign w:val="center"/>
          </w:tcPr>
          <w:p w14:paraId="24744C0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sum(E2:E5)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13</w:t>
            </w:r>
            <w:r>
              <w:rPr>
                <w:rFonts w:hint="eastAsia" w:ascii="仿宋_GB2312" w:hAnsi="仿宋_GB2312" w:eastAsia="仿宋_GB2312" w:cs="仿宋_GB2312"/>
                <w:b/>
                <w:bCs/>
                <w:color w:val="auto"/>
                <w:sz w:val="24"/>
                <w:szCs w:val="24"/>
                <w:highlight w:val="none"/>
                <w:lang w:val="en-US" w:eastAsia="zh-CN"/>
              </w:rPr>
              <w:fldChar w:fldCharType="end"/>
            </w:r>
          </w:p>
        </w:tc>
        <w:tc>
          <w:tcPr>
            <w:tcW w:w="972" w:type="dxa"/>
            <w:tcBorders>
              <w:right w:val="nil"/>
              <w:tl2br w:val="nil"/>
              <w:tr2bl w:val="nil"/>
            </w:tcBorders>
            <w:noWrap w:val="0"/>
            <w:vAlign w:val="center"/>
          </w:tcPr>
          <w:p w14:paraId="0842AED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r>
    </w:tbl>
    <w:p w14:paraId="4D0262A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green"/>
          <w:lang w:val="en-US" w:eastAsia="zh-CN"/>
        </w:rPr>
      </w:pPr>
      <w:r>
        <w:rPr>
          <w:rFonts w:hint="eastAsia" w:ascii="仿宋_GB2312" w:hAnsi="仿宋_GB2312" w:eastAsia="仿宋_GB2312" w:cs="仿宋_GB2312"/>
          <w:color w:val="auto"/>
          <w:sz w:val="32"/>
          <w:szCs w:val="32"/>
          <w:highlight w:val="none"/>
          <w:lang w:val="en-US" w:eastAsia="zh-CN"/>
        </w:rPr>
        <w:t>1.经济成本方面。项目建设成本控制好，实际支出资金规范，执行金额能控制在项目预算资金之内。</w:t>
      </w:r>
    </w:p>
    <w:p w14:paraId="5159255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2.社会成本方面。项目实施深受社会各方面的认可和支持。因此，项目无社会成本方面负面影响。</w:t>
      </w:r>
    </w:p>
    <w:p w14:paraId="09139BB3">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3.生态成本方面。项目</w:t>
      </w:r>
      <w:r>
        <w:rPr>
          <w:rFonts w:hint="eastAsia" w:ascii="仿宋_GB2312" w:hAnsi="仿宋_GB2312" w:eastAsia="仿宋_GB2312" w:cs="仿宋_GB2312"/>
          <w:color w:val="auto"/>
          <w:kern w:val="2"/>
          <w:sz w:val="32"/>
          <w:szCs w:val="32"/>
          <w:highlight w:val="none"/>
          <w:lang w:val="en-US" w:eastAsia="zh-CN" w:bidi="ar-SA"/>
        </w:rPr>
        <w:t>无生态环境方面的负面影响。</w:t>
      </w:r>
    </w:p>
    <w:p w14:paraId="18D7CCA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green"/>
          <w:lang w:val="en-US" w:eastAsia="zh-CN"/>
        </w:rPr>
      </w:pPr>
      <w:r>
        <w:rPr>
          <w:rFonts w:hint="eastAsia" w:ascii="仿宋_GB2312" w:hAnsi="仿宋_GB2312" w:eastAsia="仿宋_GB2312" w:cs="仿宋_GB2312"/>
          <w:color w:val="auto"/>
          <w:sz w:val="32"/>
          <w:szCs w:val="32"/>
          <w:highlight w:val="none"/>
          <w:lang w:val="en-US" w:eastAsia="zh-CN"/>
        </w:rPr>
        <w:t>评价组认为，项目经济成本、</w:t>
      </w:r>
      <w:r>
        <w:rPr>
          <w:rFonts w:hint="eastAsia" w:ascii="仿宋_GB2312" w:hAnsi="仿宋_GB2312" w:eastAsia="仿宋_GB2312" w:cs="仿宋_GB2312"/>
          <w:color w:val="auto"/>
          <w:kern w:val="2"/>
          <w:sz w:val="32"/>
          <w:szCs w:val="32"/>
          <w:highlight w:val="none"/>
          <w:lang w:val="en-US" w:eastAsia="zh-CN" w:bidi="ar-SA"/>
        </w:rPr>
        <w:t>社会成本和</w:t>
      </w:r>
      <w:r>
        <w:rPr>
          <w:rFonts w:hint="eastAsia" w:ascii="仿宋_GB2312" w:hAnsi="仿宋_GB2312" w:eastAsia="仿宋_GB2312" w:cs="仿宋_GB2312"/>
          <w:color w:val="auto"/>
          <w:sz w:val="32"/>
          <w:szCs w:val="32"/>
          <w:highlight w:val="none"/>
          <w:lang w:val="en-US" w:eastAsia="zh-CN"/>
        </w:rPr>
        <w:t>生态环境成本方面总体较好，无负面影响。</w:t>
      </w:r>
    </w:p>
    <w:p w14:paraId="6F3FB012">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（四）项目产出情况</w:t>
      </w:r>
    </w:p>
    <w:p w14:paraId="0767121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项目产出从产出数量、产出质量、产出时效三个方面进行评价。项目产出满分25分，得分20.5分。具体得分详见表9。</w:t>
      </w:r>
    </w:p>
    <w:p w14:paraId="33C15AE9">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表9   项目产出绩效指标分析表</w:t>
      </w:r>
    </w:p>
    <w:tbl>
      <w:tblPr>
        <w:tblStyle w:val="14"/>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11"/>
        <w:gridCol w:w="1677"/>
        <w:gridCol w:w="2785"/>
        <w:gridCol w:w="967"/>
        <w:gridCol w:w="1183"/>
      </w:tblGrid>
      <w:tr w14:paraId="2C32E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258" w:type="dxa"/>
            <w:tcBorders>
              <w:left w:val="nil"/>
              <w:tl2br w:val="nil"/>
              <w:tr2bl w:val="nil"/>
            </w:tcBorders>
            <w:shd w:val="clear" w:color="auto" w:fill="D7D7D7"/>
            <w:noWrap w:val="0"/>
            <w:vAlign w:val="center"/>
          </w:tcPr>
          <w:p w14:paraId="4EB5D50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1" w:type="dxa"/>
            <w:tcBorders>
              <w:tl2br w:val="nil"/>
              <w:tr2bl w:val="nil"/>
            </w:tcBorders>
            <w:shd w:val="clear" w:color="auto" w:fill="D7D7D7"/>
            <w:noWrap w:val="0"/>
            <w:vAlign w:val="center"/>
          </w:tcPr>
          <w:p w14:paraId="4AF7AB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77" w:type="dxa"/>
            <w:tcBorders>
              <w:tl2br w:val="nil"/>
              <w:tr2bl w:val="nil"/>
            </w:tcBorders>
            <w:shd w:val="clear" w:color="auto" w:fill="D7D7D7"/>
            <w:noWrap w:val="0"/>
            <w:vAlign w:val="center"/>
          </w:tcPr>
          <w:p w14:paraId="4EE3191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785" w:type="dxa"/>
            <w:tcBorders>
              <w:tl2br w:val="nil"/>
              <w:tr2bl w:val="nil"/>
            </w:tcBorders>
            <w:shd w:val="clear" w:color="auto" w:fill="D7D7D7"/>
            <w:noWrap w:val="0"/>
            <w:vAlign w:val="center"/>
          </w:tcPr>
          <w:p w14:paraId="0920FA3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6E2C21E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4BB003F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05D4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258" w:type="dxa"/>
            <w:vMerge w:val="restart"/>
            <w:tcBorders>
              <w:left w:val="nil"/>
              <w:tl2br w:val="nil"/>
              <w:tr2bl w:val="nil"/>
            </w:tcBorders>
            <w:noWrap w:val="0"/>
            <w:vAlign w:val="center"/>
          </w:tcPr>
          <w:p w14:paraId="17BD552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产出</w:t>
            </w:r>
          </w:p>
        </w:tc>
        <w:tc>
          <w:tcPr>
            <w:tcW w:w="811" w:type="dxa"/>
            <w:vMerge w:val="restart"/>
            <w:tcBorders>
              <w:tl2br w:val="nil"/>
              <w:tr2bl w:val="nil"/>
            </w:tcBorders>
            <w:noWrap w:val="0"/>
            <w:vAlign w:val="center"/>
          </w:tcPr>
          <w:p w14:paraId="59BB3AF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25</w:t>
            </w:r>
          </w:p>
        </w:tc>
        <w:tc>
          <w:tcPr>
            <w:tcW w:w="1677" w:type="dxa"/>
            <w:tcBorders>
              <w:tl2br w:val="nil"/>
              <w:tr2bl w:val="nil"/>
            </w:tcBorders>
            <w:noWrap w:val="0"/>
            <w:vAlign w:val="center"/>
          </w:tcPr>
          <w:p w14:paraId="21C147A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产出数量</w:t>
            </w:r>
          </w:p>
        </w:tc>
        <w:tc>
          <w:tcPr>
            <w:tcW w:w="2785" w:type="dxa"/>
            <w:tcBorders>
              <w:tl2br w:val="nil"/>
              <w:tr2bl w:val="nil"/>
            </w:tcBorders>
            <w:noWrap w:val="0"/>
            <w:vAlign w:val="center"/>
          </w:tcPr>
          <w:p w14:paraId="4C202460">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项目数量目标完成情况</w:t>
            </w:r>
          </w:p>
        </w:tc>
        <w:tc>
          <w:tcPr>
            <w:tcW w:w="967" w:type="dxa"/>
            <w:tcBorders>
              <w:tl2br w:val="nil"/>
              <w:tr2bl w:val="nil"/>
            </w:tcBorders>
            <w:noWrap w:val="0"/>
            <w:vAlign w:val="center"/>
          </w:tcPr>
          <w:p w14:paraId="38FA5902">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c>
          <w:tcPr>
            <w:tcW w:w="1183" w:type="dxa"/>
            <w:tcBorders>
              <w:right w:val="nil"/>
              <w:tl2br w:val="nil"/>
              <w:tr2bl w:val="nil"/>
            </w:tcBorders>
            <w:noWrap w:val="0"/>
            <w:vAlign w:val="center"/>
          </w:tcPr>
          <w:p w14:paraId="7F74721C">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8.5</w:t>
            </w:r>
          </w:p>
        </w:tc>
      </w:tr>
      <w:tr w14:paraId="38475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258" w:type="dxa"/>
            <w:vMerge w:val="continue"/>
            <w:tcBorders>
              <w:left w:val="nil"/>
              <w:tl2br w:val="nil"/>
              <w:tr2bl w:val="nil"/>
            </w:tcBorders>
            <w:noWrap w:val="0"/>
            <w:vAlign w:val="center"/>
          </w:tcPr>
          <w:p w14:paraId="7040EA4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251559D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08CF3AA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产出质量</w:t>
            </w:r>
          </w:p>
        </w:tc>
        <w:tc>
          <w:tcPr>
            <w:tcW w:w="2785" w:type="dxa"/>
            <w:tcBorders>
              <w:tl2br w:val="nil"/>
              <w:tr2bl w:val="nil"/>
            </w:tcBorders>
            <w:noWrap w:val="0"/>
            <w:vAlign w:val="center"/>
          </w:tcPr>
          <w:p w14:paraId="344FD22E">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项目质量目标完成情况</w:t>
            </w:r>
          </w:p>
        </w:tc>
        <w:tc>
          <w:tcPr>
            <w:tcW w:w="967" w:type="dxa"/>
            <w:tcBorders>
              <w:tl2br w:val="nil"/>
              <w:tr2bl w:val="nil"/>
            </w:tcBorders>
            <w:noWrap w:val="0"/>
            <w:vAlign w:val="center"/>
          </w:tcPr>
          <w:p w14:paraId="073F4D27">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10</w:t>
            </w:r>
          </w:p>
        </w:tc>
        <w:tc>
          <w:tcPr>
            <w:tcW w:w="1183" w:type="dxa"/>
            <w:tcBorders>
              <w:right w:val="nil"/>
              <w:tl2br w:val="nil"/>
              <w:tr2bl w:val="nil"/>
            </w:tcBorders>
            <w:noWrap w:val="0"/>
            <w:vAlign w:val="center"/>
          </w:tcPr>
          <w:p w14:paraId="79772ECA">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8</w:t>
            </w:r>
          </w:p>
        </w:tc>
      </w:tr>
      <w:tr w14:paraId="16E31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258" w:type="dxa"/>
            <w:vMerge w:val="continue"/>
            <w:tcBorders>
              <w:left w:val="nil"/>
              <w:tl2br w:val="nil"/>
              <w:tr2bl w:val="nil"/>
            </w:tcBorders>
            <w:noWrap w:val="0"/>
            <w:vAlign w:val="center"/>
          </w:tcPr>
          <w:p w14:paraId="7581B4A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0D7ACC5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0D5585C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产出时效</w:t>
            </w:r>
          </w:p>
        </w:tc>
        <w:tc>
          <w:tcPr>
            <w:tcW w:w="2785" w:type="dxa"/>
            <w:tcBorders>
              <w:tl2br w:val="nil"/>
              <w:tr2bl w:val="nil"/>
            </w:tcBorders>
            <w:noWrap w:val="0"/>
            <w:vAlign w:val="center"/>
          </w:tcPr>
          <w:p w14:paraId="207F97D6">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项目按期完成情况</w:t>
            </w:r>
          </w:p>
        </w:tc>
        <w:tc>
          <w:tcPr>
            <w:tcW w:w="967" w:type="dxa"/>
            <w:tcBorders>
              <w:tl2br w:val="nil"/>
              <w:tr2bl w:val="nil"/>
            </w:tcBorders>
            <w:noWrap w:val="0"/>
            <w:vAlign w:val="center"/>
          </w:tcPr>
          <w:p w14:paraId="581B3D42">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5</w:t>
            </w:r>
          </w:p>
        </w:tc>
        <w:tc>
          <w:tcPr>
            <w:tcW w:w="1183" w:type="dxa"/>
            <w:tcBorders>
              <w:right w:val="nil"/>
              <w:tl2br w:val="nil"/>
              <w:tr2bl w:val="nil"/>
            </w:tcBorders>
            <w:noWrap w:val="0"/>
            <w:vAlign w:val="center"/>
          </w:tcPr>
          <w:p w14:paraId="2E5C179D">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4D94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trPr>
        <w:tc>
          <w:tcPr>
            <w:tcW w:w="1258" w:type="dxa"/>
            <w:tcBorders>
              <w:left w:val="nil"/>
              <w:tl2br w:val="nil"/>
              <w:tr2bl w:val="nil"/>
            </w:tcBorders>
            <w:noWrap w:val="0"/>
            <w:vAlign w:val="center"/>
          </w:tcPr>
          <w:p w14:paraId="6F2E4E7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11" w:type="dxa"/>
            <w:tcBorders>
              <w:tl2br w:val="nil"/>
              <w:tr2bl w:val="nil"/>
            </w:tcBorders>
            <w:noWrap w:val="0"/>
            <w:vAlign w:val="center"/>
          </w:tcPr>
          <w:p w14:paraId="7878684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677" w:type="dxa"/>
            <w:tcBorders>
              <w:tl2br w:val="nil"/>
              <w:tr2bl w:val="nil"/>
            </w:tcBorders>
            <w:noWrap w:val="0"/>
            <w:vAlign w:val="center"/>
          </w:tcPr>
          <w:p w14:paraId="7D0BB57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2785" w:type="dxa"/>
            <w:tcBorders>
              <w:tl2br w:val="nil"/>
              <w:tr2bl w:val="nil"/>
            </w:tcBorders>
            <w:noWrap w:val="0"/>
            <w:vAlign w:val="center"/>
          </w:tcPr>
          <w:p w14:paraId="538F193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67" w:type="dxa"/>
            <w:tcBorders>
              <w:tl2br w:val="nil"/>
              <w:tr2bl w:val="nil"/>
            </w:tcBorders>
            <w:noWrap w:val="0"/>
            <w:vAlign w:val="center"/>
          </w:tcPr>
          <w:p w14:paraId="0E936D2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183" w:type="dxa"/>
            <w:tcBorders>
              <w:right w:val="nil"/>
              <w:tl2br w:val="nil"/>
              <w:tr2bl w:val="nil"/>
            </w:tcBorders>
            <w:noWrap w:val="0"/>
            <w:vAlign w:val="center"/>
          </w:tcPr>
          <w:p w14:paraId="4D6DE94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default" w:ascii="仿宋_GB2312" w:hAnsi="仿宋_GB2312" w:eastAsia="仿宋_GB2312" w:cs="仿宋_GB2312"/>
                <w:b/>
                <w:bCs/>
                <w:color w:val="auto"/>
                <w:sz w:val="24"/>
                <w:szCs w:val="24"/>
                <w:highlight w:val="none"/>
                <w:lang w:val="en-US" w:eastAsia="zh-CN"/>
              </w:rPr>
              <w:fldChar w:fldCharType="begin"/>
            </w:r>
            <w:r>
              <w:rPr>
                <w:rFonts w:hint="default" w:ascii="仿宋_GB2312" w:hAnsi="仿宋_GB2312" w:eastAsia="仿宋_GB2312" w:cs="仿宋_GB2312"/>
                <w:b/>
                <w:bCs/>
                <w:color w:val="auto"/>
                <w:sz w:val="24"/>
                <w:szCs w:val="24"/>
                <w:highlight w:val="none"/>
                <w:lang w:val="en-US" w:eastAsia="zh-CN"/>
              </w:rPr>
              <w:instrText xml:space="preserve"> = sum(F2:F4) \* MERGEFORMAT </w:instrText>
            </w:r>
            <w:r>
              <w:rPr>
                <w:rFonts w:hint="default" w:ascii="仿宋_GB2312" w:hAnsi="仿宋_GB2312" w:eastAsia="仿宋_GB2312" w:cs="仿宋_GB2312"/>
                <w:b/>
                <w:bCs/>
                <w:color w:val="auto"/>
                <w:sz w:val="24"/>
                <w:szCs w:val="24"/>
                <w:highlight w:val="none"/>
                <w:lang w:val="en-US" w:eastAsia="zh-CN"/>
              </w:rPr>
              <w:fldChar w:fldCharType="separate"/>
            </w:r>
            <w:r>
              <w:rPr>
                <w:rFonts w:hint="default" w:ascii="仿宋_GB2312" w:hAnsi="仿宋_GB2312" w:eastAsia="仿宋_GB2312" w:cs="仿宋_GB2312"/>
                <w:b/>
                <w:bCs/>
                <w:color w:val="auto"/>
                <w:sz w:val="24"/>
                <w:szCs w:val="24"/>
                <w:highlight w:val="none"/>
                <w:lang w:val="en-US" w:eastAsia="zh-CN"/>
              </w:rPr>
              <w:t>20.5</w:t>
            </w:r>
            <w:r>
              <w:rPr>
                <w:rFonts w:hint="default" w:ascii="仿宋_GB2312" w:hAnsi="仿宋_GB2312" w:eastAsia="仿宋_GB2312" w:cs="仿宋_GB2312"/>
                <w:b/>
                <w:bCs/>
                <w:color w:val="auto"/>
                <w:sz w:val="24"/>
                <w:szCs w:val="24"/>
                <w:highlight w:val="none"/>
                <w:lang w:val="en-US" w:eastAsia="zh-CN"/>
              </w:rPr>
              <w:fldChar w:fldCharType="end"/>
            </w:r>
          </w:p>
        </w:tc>
      </w:tr>
    </w:tbl>
    <w:p w14:paraId="354F816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1.产出数量方面。从项目单位提供的相关资料及现场检查情况看，项目产出数量目标任务已基本完成。但项目仅有路灯数量，没有故障方面数量考核指标体系，其数量完成情况难以准确判定。        </w:t>
      </w:r>
    </w:p>
    <w:p w14:paraId="58F266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2.产出质量方面。从项目单位提供的相关资料、现场查看及调查问卷等方面情况看</w:t>
      </w:r>
      <w:r>
        <w:rPr>
          <w:rFonts w:hint="eastAsia" w:ascii="仿宋_GB2312" w:hAnsi="仿宋_GB2312" w:eastAsia="仿宋_GB2312" w:cs="仿宋_GB2312"/>
          <w:color w:val="auto"/>
          <w:kern w:val="2"/>
          <w:sz w:val="32"/>
          <w:szCs w:val="32"/>
          <w:highlight w:val="none"/>
          <w:lang w:val="en-US" w:eastAsia="zh-CN" w:bidi="ar-SA"/>
        </w:rPr>
        <w:t>，项目质量方面完成较好，故障处置较为及时。但由于没有建立路灯及线路故障率、处置时效、照明亮度等考核指标体系，也未进行必要的考评，</w:t>
      </w:r>
      <w:r>
        <w:rPr>
          <w:rFonts w:hint="eastAsia" w:ascii="仿宋_GB2312" w:hAnsi="仿宋_GB2312" w:eastAsia="仿宋_GB2312" w:cs="仿宋_GB2312"/>
          <w:color w:val="auto"/>
          <w:sz w:val="32"/>
          <w:szCs w:val="32"/>
          <w:highlight w:val="none"/>
          <w:lang w:val="en-US" w:eastAsia="zh-CN"/>
        </w:rPr>
        <w:t>其质量完成情况难以准确判定</w:t>
      </w:r>
      <w:r>
        <w:rPr>
          <w:rFonts w:hint="eastAsia" w:ascii="仿宋_GB2312" w:hAnsi="仿宋_GB2312" w:eastAsia="仿宋_GB2312" w:cs="仿宋_GB2312"/>
          <w:color w:val="auto"/>
          <w:kern w:val="2"/>
          <w:sz w:val="32"/>
          <w:szCs w:val="32"/>
          <w:highlight w:val="none"/>
          <w:lang w:val="en-US" w:eastAsia="zh-CN" w:bidi="ar-SA"/>
        </w:rPr>
        <w:t>。加之，还有群众对一些</w:t>
      </w:r>
      <w:r>
        <w:rPr>
          <w:rFonts w:hint="eastAsia" w:ascii="仿宋_GB2312" w:hAnsi="仿宋_GB2312" w:eastAsia="仿宋_GB2312" w:cs="仿宋_GB2312"/>
          <w:color w:val="auto"/>
          <w:sz w:val="32"/>
          <w:szCs w:val="32"/>
          <w:highlight w:val="none"/>
          <w:lang w:val="en-US" w:eastAsia="zh-CN"/>
        </w:rPr>
        <w:t>路灯故障处置不及时表示不满意，在一定程度也影响了项目产出质量</w:t>
      </w:r>
      <w:r>
        <w:rPr>
          <w:rFonts w:hint="eastAsia" w:ascii="仿宋_GB2312" w:hAnsi="仿宋_GB2312" w:eastAsia="仿宋_GB2312" w:cs="仿宋_GB2312"/>
          <w:color w:val="auto"/>
          <w:kern w:val="2"/>
          <w:sz w:val="32"/>
          <w:szCs w:val="32"/>
          <w:highlight w:val="none"/>
          <w:lang w:val="en-US" w:eastAsia="zh-CN" w:bidi="ar-SA"/>
        </w:rPr>
        <w:t>。</w:t>
      </w:r>
    </w:p>
    <w:p w14:paraId="1BA6A79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3.产出时效方面。从项目单位提供的相关资料及调查问卷显示，项目时效性较强，故障处理较为及时。但仍有一些群众对路灯故障处置时效性不够满意。</w:t>
      </w:r>
    </w:p>
    <w:p w14:paraId="3E37C83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评价组认为，从项目产出方面看，项目产出数量、质量、时效较好，但仍存在一定的不足或不确定性。</w:t>
      </w:r>
    </w:p>
    <w:p w14:paraId="572DA4C7">
      <w:pPr>
        <w:pStyle w:val="9"/>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（五）项目效益情况</w:t>
      </w:r>
    </w:p>
    <w:p w14:paraId="2FFF67D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bCs/>
          <w:color w:val="auto"/>
          <w:kern w:val="2"/>
          <w:sz w:val="28"/>
          <w:szCs w:val="28"/>
          <w:highlight w:val="none"/>
          <w:lang w:val="en-US" w:eastAsia="zh-CN" w:bidi="ar-SA"/>
        </w:rPr>
      </w:pPr>
      <w:r>
        <w:rPr>
          <w:rFonts w:hint="eastAsia" w:ascii="仿宋_GB2312" w:hAnsi="仿宋_GB2312" w:eastAsia="仿宋_GB2312" w:cs="仿宋_GB2312"/>
          <w:color w:val="auto"/>
          <w:sz w:val="32"/>
          <w:szCs w:val="32"/>
          <w:highlight w:val="none"/>
          <w:lang w:val="en-US" w:eastAsia="zh-CN"/>
        </w:rPr>
        <w:t>从经济效益、社会效益、生态效益、可持续影响、受表彰情况、满意度六个方面进行评价。项目效益满分为35分，得分为30分。具体得分详见表10。</w:t>
      </w:r>
    </w:p>
    <w:p w14:paraId="11EA24F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6" w:firstLineChars="200"/>
        <w:jc w:val="center"/>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表10   项目效益绩效指标分析表</w:t>
      </w:r>
    </w:p>
    <w:tbl>
      <w:tblPr>
        <w:tblStyle w:val="14"/>
        <w:tblpPr w:leftFromText="181" w:rightFromText="181" w:vertAnchor="text" w:horzAnchor="page" w:tblpX="1946"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8"/>
        <w:gridCol w:w="587"/>
        <w:gridCol w:w="1444"/>
        <w:gridCol w:w="4082"/>
        <w:gridCol w:w="675"/>
        <w:gridCol w:w="868"/>
      </w:tblGrid>
      <w:tr w14:paraId="38B72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exact"/>
          <w:tblHeader/>
        </w:trPr>
        <w:tc>
          <w:tcPr>
            <w:tcW w:w="848" w:type="dxa"/>
            <w:tcBorders>
              <w:top w:val="single" w:color="000000" w:sz="4" w:space="0"/>
              <w:bottom w:val="single" w:color="000000" w:sz="4" w:space="0"/>
              <w:right w:val="single" w:color="000000" w:sz="4" w:space="0"/>
            </w:tcBorders>
            <w:shd w:val="clear" w:color="auto" w:fill="D7D7D7"/>
            <w:noWrap w:val="0"/>
            <w:vAlign w:val="center"/>
          </w:tcPr>
          <w:p w14:paraId="42772E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一级</w:t>
            </w:r>
          </w:p>
          <w:p w14:paraId="5A68107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指标</w:t>
            </w:r>
          </w:p>
        </w:tc>
        <w:tc>
          <w:tcPr>
            <w:tcW w:w="587"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4626D9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分值</w:t>
            </w:r>
          </w:p>
        </w:tc>
        <w:tc>
          <w:tcPr>
            <w:tcW w:w="1444"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580F43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二级指标</w:t>
            </w:r>
          </w:p>
        </w:tc>
        <w:tc>
          <w:tcPr>
            <w:tcW w:w="4082" w:type="dxa"/>
            <w:tcBorders>
              <w:top w:val="single" w:color="000000" w:sz="4" w:space="0"/>
              <w:left w:val="single" w:color="000000" w:sz="4" w:space="0"/>
              <w:bottom w:val="single" w:color="000000" w:sz="4" w:space="0"/>
              <w:right w:val="single" w:color="000000" w:sz="4" w:space="0"/>
            </w:tcBorders>
            <w:shd w:val="clear" w:color="auto" w:fill="D7D7D7"/>
            <w:noWrap w:val="0"/>
            <w:vAlign w:val="center"/>
          </w:tcPr>
          <w:p w14:paraId="790666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三级指标</w:t>
            </w:r>
          </w:p>
        </w:tc>
        <w:tc>
          <w:tcPr>
            <w:tcW w:w="675" w:type="dxa"/>
            <w:tcBorders>
              <w:top w:val="single" w:color="000000" w:sz="4" w:space="0"/>
              <w:left w:val="single" w:color="000000" w:sz="4" w:space="0"/>
              <w:bottom w:val="single" w:color="000000" w:sz="4" w:space="0"/>
              <w:right w:val="single" w:color="auto" w:sz="4" w:space="0"/>
            </w:tcBorders>
            <w:shd w:val="clear" w:color="auto" w:fill="D7D7D7"/>
            <w:noWrap w:val="0"/>
            <w:vAlign w:val="center"/>
          </w:tcPr>
          <w:p w14:paraId="6C75C2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cs="仿宋"/>
                <w:b/>
                <w:bCs/>
                <w:i w:val="0"/>
                <w:iCs w:val="0"/>
                <w:color w:val="auto"/>
                <w:sz w:val="24"/>
                <w:szCs w:val="24"/>
                <w:highlight w:val="none"/>
                <w:u w:val="none"/>
              </w:rPr>
            </w:pPr>
            <w:r>
              <w:rPr>
                <w:rFonts w:hint="eastAsia" w:ascii="仿宋" w:hAnsi="仿宋" w:eastAsia="仿宋" w:cs="仿宋"/>
                <w:b/>
                <w:bCs/>
                <w:i w:val="0"/>
                <w:iCs w:val="0"/>
                <w:color w:val="auto"/>
                <w:kern w:val="0"/>
                <w:sz w:val="24"/>
                <w:szCs w:val="24"/>
                <w:highlight w:val="none"/>
                <w:u w:val="none"/>
                <w:lang w:val="en-US" w:eastAsia="zh-CN" w:bidi="ar"/>
              </w:rPr>
              <w:t>分值</w:t>
            </w:r>
          </w:p>
        </w:tc>
        <w:tc>
          <w:tcPr>
            <w:tcW w:w="868" w:type="dxa"/>
            <w:tcBorders>
              <w:top w:val="single" w:color="000000" w:sz="4" w:space="0"/>
              <w:left w:val="single" w:color="000000" w:sz="4" w:space="0"/>
              <w:bottom w:val="single" w:color="000000" w:sz="4" w:space="0"/>
            </w:tcBorders>
            <w:shd w:val="clear" w:color="auto" w:fill="D7D7D7"/>
            <w:noWrap w:val="0"/>
            <w:vAlign w:val="center"/>
          </w:tcPr>
          <w:p w14:paraId="161E06B2">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 w:hAnsi="仿宋" w:eastAsia="仿宋" w:cs="仿宋"/>
                <w:b w:val="0"/>
                <w:bCs w:val="0"/>
                <w:i w:val="0"/>
                <w:iCs w:val="0"/>
                <w:color w:val="auto"/>
                <w:sz w:val="24"/>
                <w:szCs w:val="24"/>
                <w:highlight w:val="none"/>
                <w:u w:val="none"/>
              </w:rPr>
            </w:pPr>
            <w:r>
              <w:rPr>
                <w:rFonts w:hint="eastAsia" w:ascii="仿宋" w:hAnsi="仿宋" w:eastAsia="仿宋" w:cs="仿宋"/>
                <w:b/>
                <w:bCs/>
                <w:color w:val="auto"/>
                <w:sz w:val="24"/>
                <w:szCs w:val="24"/>
                <w:highlight w:val="none"/>
                <w:lang w:val="en-US" w:eastAsia="zh-CN"/>
              </w:rPr>
              <w:t>得分</w:t>
            </w:r>
          </w:p>
        </w:tc>
      </w:tr>
      <w:tr w14:paraId="3D61E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848" w:type="dxa"/>
            <w:vMerge w:val="restart"/>
            <w:tcBorders>
              <w:top w:val="single" w:color="000000" w:sz="4" w:space="0"/>
              <w:bottom w:val="single" w:color="000000" w:sz="4" w:space="0"/>
              <w:right w:val="single" w:color="000000" w:sz="4" w:space="0"/>
            </w:tcBorders>
            <w:noWrap w:val="0"/>
            <w:vAlign w:val="center"/>
          </w:tcPr>
          <w:p w14:paraId="31247D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 xml:space="preserve">效益     </w:t>
            </w:r>
          </w:p>
        </w:tc>
        <w:tc>
          <w:tcPr>
            <w:tcW w:w="587" w:type="dxa"/>
            <w:vMerge w:val="restart"/>
            <w:tcBorders>
              <w:top w:val="single" w:color="000000" w:sz="4" w:space="0"/>
              <w:left w:val="single" w:color="000000" w:sz="4" w:space="0"/>
              <w:bottom w:val="single" w:color="000000" w:sz="4" w:space="0"/>
              <w:right w:val="single" w:color="000000" w:sz="4" w:space="0"/>
            </w:tcBorders>
            <w:noWrap w:val="0"/>
            <w:vAlign w:val="center"/>
          </w:tcPr>
          <w:p w14:paraId="73296E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3620D9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经济效益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089778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控制运行成本，促进区域经济发展作用情况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1B000C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w:t>
            </w:r>
          </w:p>
        </w:tc>
        <w:tc>
          <w:tcPr>
            <w:tcW w:w="868" w:type="dxa"/>
            <w:tcBorders>
              <w:top w:val="single" w:color="000000" w:sz="4" w:space="0"/>
              <w:left w:val="single" w:color="000000" w:sz="4" w:space="0"/>
              <w:bottom w:val="single" w:color="000000" w:sz="4" w:space="0"/>
            </w:tcBorders>
            <w:noWrap w:val="0"/>
            <w:vAlign w:val="center"/>
          </w:tcPr>
          <w:p w14:paraId="5CB180B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5</w:t>
            </w:r>
          </w:p>
        </w:tc>
      </w:tr>
      <w:tr w14:paraId="2408F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exact"/>
        </w:trPr>
        <w:tc>
          <w:tcPr>
            <w:tcW w:w="848" w:type="dxa"/>
            <w:vMerge w:val="continue"/>
            <w:tcBorders>
              <w:top w:val="single" w:color="000000" w:sz="4" w:space="0"/>
              <w:bottom w:val="single" w:color="000000" w:sz="4" w:space="0"/>
              <w:right w:val="single" w:color="000000" w:sz="4" w:space="0"/>
            </w:tcBorders>
            <w:noWrap w:val="0"/>
            <w:vAlign w:val="center"/>
          </w:tcPr>
          <w:p w14:paraId="57513CA4">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737AE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restart"/>
            <w:tcBorders>
              <w:top w:val="single" w:color="000000" w:sz="4" w:space="0"/>
              <w:left w:val="single" w:color="000000" w:sz="4" w:space="0"/>
              <w:bottom w:val="single" w:color="000000" w:sz="4" w:space="0"/>
              <w:right w:val="single" w:color="000000" w:sz="4" w:space="0"/>
            </w:tcBorders>
            <w:noWrap w:val="0"/>
            <w:vAlign w:val="center"/>
          </w:tcPr>
          <w:p w14:paraId="5A7A78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社会效益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4FC2CB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提供夜间照明</w:t>
            </w:r>
            <w:r>
              <w:rPr>
                <w:rFonts w:hint="eastAsia" w:ascii="仿宋_GB2312" w:hAnsi="仿宋_GB2312" w:eastAsia="仿宋_GB2312" w:cs="仿宋_GB2312"/>
                <w:color w:val="auto"/>
                <w:kern w:val="2"/>
                <w:sz w:val="21"/>
                <w:szCs w:val="21"/>
                <w:highlight w:val="none"/>
                <w:vertAlign w:val="baseline"/>
                <w:lang w:val="en-US" w:eastAsia="zh-CN" w:bidi="ar-SA"/>
              </w:rPr>
              <w:t>的作用，</w:t>
            </w:r>
            <w:r>
              <w:rPr>
                <w:rFonts w:hint="default" w:ascii="仿宋_GB2312" w:hAnsi="仿宋_GB2312" w:eastAsia="仿宋_GB2312" w:cs="仿宋_GB2312"/>
                <w:color w:val="auto"/>
                <w:kern w:val="2"/>
                <w:sz w:val="21"/>
                <w:szCs w:val="21"/>
                <w:highlight w:val="none"/>
                <w:vertAlign w:val="baseline"/>
                <w:lang w:val="en-US" w:eastAsia="zh-CN" w:bidi="ar-SA"/>
              </w:rPr>
              <w:t>保障行人和车辆夜间出行的安全</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17E433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w:t>
            </w:r>
          </w:p>
        </w:tc>
        <w:tc>
          <w:tcPr>
            <w:tcW w:w="868" w:type="dxa"/>
            <w:tcBorders>
              <w:top w:val="single" w:color="000000" w:sz="4" w:space="0"/>
              <w:left w:val="single" w:color="000000" w:sz="4" w:space="0"/>
              <w:bottom w:val="single" w:color="000000" w:sz="4" w:space="0"/>
            </w:tcBorders>
            <w:noWrap/>
            <w:vAlign w:val="center"/>
          </w:tcPr>
          <w:p w14:paraId="427CD4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2.7</w:t>
            </w:r>
          </w:p>
        </w:tc>
      </w:tr>
      <w:tr w14:paraId="57F5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8" w:hRule="exact"/>
        </w:trPr>
        <w:tc>
          <w:tcPr>
            <w:tcW w:w="848" w:type="dxa"/>
            <w:vMerge w:val="continue"/>
            <w:tcBorders>
              <w:top w:val="single" w:color="000000" w:sz="4" w:space="0"/>
              <w:bottom w:val="single" w:color="000000" w:sz="4" w:space="0"/>
              <w:right w:val="single" w:color="000000" w:sz="4" w:space="0"/>
            </w:tcBorders>
            <w:noWrap w:val="0"/>
            <w:vAlign w:val="center"/>
          </w:tcPr>
          <w:p w14:paraId="63236B35">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0B371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16BC1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56A47BE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提高城市的公共安全水平</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517CE9E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w:t>
            </w:r>
          </w:p>
        </w:tc>
        <w:tc>
          <w:tcPr>
            <w:tcW w:w="868" w:type="dxa"/>
            <w:tcBorders>
              <w:top w:val="single" w:color="000000" w:sz="4" w:space="0"/>
              <w:left w:val="single" w:color="000000" w:sz="4" w:space="0"/>
              <w:bottom w:val="single" w:color="000000" w:sz="4" w:space="0"/>
            </w:tcBorders>
            <w:noWrap/>
            <w:vAlign w:val="center"/>
          </w:tcPr>
          <w:p w14:paraId="45B49E5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2.7</w:t>
            </w:r>
          </w:p>
        </w:tc>
      </w:tr>
      <w:tr w14:paraId="48873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exact"/>
        </w:trPr>
        <w:tc>
          <w:tcPr>
            <w:tcW w:w="848" w:type="dxa"/>
            <w:vMerge w:val="continue"/>
            <w:tcBorders>
              <w:top w:val="single" w:color="000000" w:sz="4" w:space="0"/>
              <w:bottom w:val="single" w:color="000000" w:sz="4" w:space="0"/>
              <w:right w:val="single" w:color="000000" w:sz="4" w:space="0"/>
            </w:tcBorders>
            <w:noWrap w:val="0"/>
            <w:vAlign w:val="center"/>
          </w:tcPr>
          <w:p w14:paraId="59B46B4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9F68D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0C8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55CEDEF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default" w:ascii="仿宋_GB2312" w:hAnsi="仿宋_GB2312" w:eastAsia="仿宋_GB2312" w:cs="仿宋_GB2312"/>
                <w:color w:val="auto"/>
                <w:kern w:val="2"/>
                <w:sz w:val="21"/>
                <w:szCs w:val="21"/>
                <w:highlight w:val="none"/>
                <w:vertAlign w:val="baseline"/>
                <w:lang w:val="en-US" w:eastAsia="zh-CN" w:bidi="ar-SA"/>
              </w:rPr>
              <w:t>提升城市的整体形象</w:t>
            </w:r>
            <w:r>
              <w:rPr>
                <w:rFonts w:hint="eastAsia" w:ascii="仿宋_GB2312" w:hAnsi="仿宋_GB2312" w:eastAsia="仿宋_GB2312" w:cs="仿宋_GB2312"/>
                <w:color w:val="auto"/>
                <w:kern w:val="2"/>
                <w:sz w:val="21"/>
                <w:szCs w:val="21"/>
                <w:highlight w:val="none"/>
                <w:vertAlign w:val="baseline"/>
                <w:lang w:val="en-US" w:eastAsia="zh-CN" w:bidi="ar-SA"/>
              </w:rPr>
              <w:t>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1E1CD2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w:t>
            </w:r>
          </w:p>
        </w:tc>
        <w:tc>
          <w:tcPr>
            <w:tcW w:w="868" w:type="dxa"/>
            <w:tcBorders>
              <w:top w:val="single" w:color="000000" w:sz="4" w:space="0"/>
              <w:left w:val="single" w:color="000000" w:sz="4" w:space="0"/>
              <w:bottom w:val="single" w:color="000000" w:sz="4" w:space="0"/>
            </w:tcBorders>
            <w:noWrap/>
            <w:vAlign w:val="center"/>
          </w:tcPr>
          <w:p w14:paraId="0FF142F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2.7</w:t>
            </w:r>
          </w:p>
        </w:tc>
      </w:tr>
      <w:tr w14:paraId="4A109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exact"/>
        </w:trPr>
        <w:tc>
          <w:tcPr>
            <w:tcW w:w="848" w:type="dxa"/>
            <w:vMerge w:val="continue"/>
            <w:tcBorders>
              <w:top w:val="single" w:color="000000" w:sz="4" w:space="0"/>
              <w:bottom w:val="single" w:color="000000" w:sz="4" w:space="0"/>
              <w:right w:val="single" w:color="000000" w:sz="4" w:space="0"/>
            </w:tcBorders>
            <w:noWrap w:val="0"/>
            <w:vAlign w:val="center"/>
          </w:tcPr>
          <w:p w14:paraId="58EFE987">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07AAF2">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26A30A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生态效益</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7A7965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生态环境方面的作用情况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713B04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w:t>
            </w:r>
          </w:p>
        </w:tc>
        <w:tc>
          <w:tcPr>
            <w:tcW w:w="868" w:type="dxa"/>
            <w:tcBorders>
              <w:top w:val="single" w:color="000000" w:sz="4" w:space="0"/>
              <w:left w:val="single" w:color="000000" w:sz="4" w:space="0"/>
              <w:bottom w:val="single" w:color="000000" w:sz="4" w:space="0"/>
            </w:tcBorders>
            <w:noWrap/>
            <w:vAlign w:val="center"/>
          </w:tcPr>
          <w:p w14:paraId="25FA40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w:t>
            </w:r>
          </w:p>
        </w:tc>
      </w:tr>
      <w:tr w14:paraId="1BBFD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exact"/>
        </w:trPr>
        <w:tc>
          <w:tcPr>
            <w:tcW w:w="848" w:type="dxa"/>
            <w:vMerge w:val="continue"/>
            <w:tcBorders>
              <w:top w:val="single" w:color="000000" w:sz="4" w:space="0"/>
              <w:bottom w:val="single" w:color="000000" w:sz="4" w:space="0"/>
              <w:right w:val="single" w:color="000000" w:sz="4" w:space="0"/>
            </w:tcBorders>
            <w:noWrap w:val="0"/>
            <w:vAlign w:val="center"/>
          </w:tcPr>
          <w:p w14:paraId="7DFCA1F9">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41605">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05534C6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可持续影响</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036B3C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项目长效运管及可持续发展情况</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258811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4</w:t>
            </w:r>
          </w:p>
        </w:tc>
        <w:tc>
          <w:tcPr>
            <w:tcW w:w="868" w:type="dxa"/>
            <w:tcBorders>
              <w:top w:val="single" w:color="000000" w:sz="4" w:space="0"/>
              <w:left w:val="single" w:color="000000" w:sz="4" w:space="0"/>
              <w:bottom w:val="single" w:color="000000" w:sz="4" w:space="0"/>
            </w:tcBorders>
            <w:noWrap/>
            <w:vAlign w:val="center"/>
          </w:tcPr>
          <w:p w14:paraId="40EF62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3.6</w:t>
            </w:r>
          </w:p>
        </w:tc>
      </w:tr>
      <w:tr w14:paraId="301EB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exact"/>
        </w:trPr>
        <w:tc>
          <w:tcPr>
            <w:tcW w:w="848" w:type="dxa"/>
            <w:vMerge w:val="continue"/>
            <w:tcBorders>
              <w:top w:val="single" w:color="000000" w:sz="4" w:space="0"/>
              <w:bottom w:val="single" w:color="000000" w:sz="4" w:space="0"/>
              <w:right w:val="single" w:color="000000" w:sz="4" w:space="0"/>
            </w:tcBorders>
            <w:noWrap w:val="0"/>
            <w:vAlign w:val="center"/>
          </w:tcPr>
          <w:p w14:paraId="660E1FD1">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D224A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0DCE6D7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受表彰情况</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3B61E9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相关工作是否受到市级以上表彰奖励</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AE4E1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3</w:t>
            </w:r>
          </w:p>
        </w:tc>
        <w:tc>
          <w:tcPr>
            <w:tcW w:w="868" w:type="dxa"/>
            <w:tcBorders>
              <w:top w:val="single" w:color="000000" w:sz="4" w:space="0"/>
              <w:left w:val="single" w:color="000000" w:sz="4" w:space="0"/>
              <w:bottom w:val="single" w:color="000000" w:sz="4" w:space="0"/>
            </w:tcBorders>
            <w:noWrap/>
            <w:vAlign w:val="center"/>
          </w:tcPr>
          <w:p w14:paraId="68DE01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0</w:t>
            </w:r>
          </w:p>
        </w:tc>
      </w:tr>
      <w:tr w14:paraId="332A1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exact"/>
        </w:trPr>
        <w:tc>
          <w:tcPr>
            <w:tcW w:w="848" w:type="dxa"/>
            <w:vMerge w:val="continue"/>
            <w:tcBorders>
              <w:top w:val="single" w:color="000000" w:sz="4" w:space="0"/>
              <w:bottom w:val="single" w:color="000000" w:sz="4" w:space="0"/>
              <w:right w:val="single" w:color="000000" w:sz="4" w:space="0"/>
            </w:tcBorders>
            <w:noWrap w:val="0"/>
            <w:vAlign w:val="center"/>
          </w:tcPr>
          <w:p w14:paraId="71623A27">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7EA460">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4E13A69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满意度</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6171F11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服务对象满意程度</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645CB7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10</w:t>
            </w:r>
          </w:p>
        </w:tc>
        <w:tc>
          <w:tcPr>
            <w:tcW w:w="868" w:type="dxa"/>
            <w:tcBorders>
              <w:top w:val="single" w:color="000000" w:sz="4" w:space="0"/>
              <w:left w:val="single" w:color="000000" w:sz="4" w:space="0"/>
              <w:bottom w:val="single" w:color="000000" w:sz="4" w:space="0"/>
            </w:tcBorders>
            <w:noWrap/>
            <w:vAlign w:val="center"/>
          </w:tcPr>
          <w:p w14:paraId="3705AA5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9.3</w:t>
            </w:r>
          </w:p>
        </w:tc>
      </w:tr>
      <w:tr w14:paraId="45788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exact"/>
        </w:trPr>
        <w:tc>
          <w:tcPr>
            <w:tcW w:w="848" w:type="dxa"/>
            <w:tcBorders>
              <w:top w:val="single" w:color="000000" w:sz="4" w:space="0"/>
              <w:bottom w:val="single" w:color="000000" w:sz="4" w:space="0"/>
              <w:right w:val="single" w:color="000000" w:sz="4" w:space="0"/>
            </w:tcBorders>
            <w:noWrap w:val="0"/>
            <w:vAlign w:val="center"/>
          </w:tcPr>
          <w:p w14:paraId="37DEA0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587" w:type="dxa"/>
            <w:tcBorders>
              <w:top w:val="single" w:color="000000" w:sz="4" w:space="0"/>
              <w:left w:val="single" w:color="000000" w:sz="4" w:space="0"/>
              <w:bottom w:val="single" w:color="000000" w:sz="4" w:space="0"/>
              <w:right w:val="single" w:color="000000" w:sz="4" w:space="0"/>
            </w:tcBorders>
            <w:noWrap w:val="0"/>
            <w:vAlign w:val="center"/>
          </w:tcPr>
          <w:p w14:paraId="3F2EBA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t>35</w:t>
            </w:r>
          </w:p>
        </w:tc>
        <w:tc>
          <w:tcPr>
            <w:tcW w:w="1444" w:type="dxa"/>
            <w:tcBorders>
              <w:top w:val="single" w:color="000000" w:sz="4" w:space="0"/>
              <w:left w:val="single" w:color="000000" w:sz="4" w:space="0"/>
              <w:bottom w:val="single" w:color="000000" w:sz="4" w:space="0"/>
              <w:right w:val="single" w:color="000000" w:sz="4" w:space="0"/>
            </w:tcBorders>
            <w:noWrap w:val="0"/>
            <w:vAlign w:val="center"/>
          </w:tcPr>
          <w:p w14:paraId="60F6CFC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4"/>
                <w:szCs w:val="24"/>
                <w:highlight w:val="none"/>
              </w:rPr>
              <w:t>—</w:t>
            </w:r>
          </w:p>
        </w:tc>
        <w:tc>
          <w:tcPr>
            <w:tcW w:w="4082" w:type="dxa"/>
            <w:tcBorders>
              <w:top w:val="single" w:color="000000" w:sz="4" w:space="0"/>
              <w:left w:val="single" w:color="000000" w:sz="4" w:space="0"/>
              <w:bottom w:val="single" w:color="000000" w:sz="4" w:space="0"/>
              <w:right w:val="single" w:color="000000" w:sz="4" w:space="0"/>
            </w:tcBorders>
            <w:noWrap w:val="0"/>
            <w:vAlign w:val="center"/>
          </w:tcPr>
          <w:p w14:paraId="6C62E1D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sz w:val="24"/>
                <w:szCs w:val="24"/>
                <w:highlight w:val="none"/>
              </w:rPr>
              <w:t>—</w:t>
            </w:r>
          </w:p>
        </w:tc>
        <w:tc>
          <w:tcPr>
            <w:tcW w:w="675" w:type="dxa"/>
            <w:tcBorders>
              <w:top w:val="single" w:color="000000" w:sz="4" w:space="0"/>
              <w:left w:val="single" w:color="000000" w:sz="4" w:space="0"/>
              <w:bottom w:val="single" w:color="000000" w:sz="4" w:space="0"/>
              <w:right w:val="single" w:color="000000" w:sz="4" w:space="0"/>
            </w:tcBorders>
            <w:noWrap w:val="0"/>
            <w:vAlign w:val="center"/>
          </w:tcPr>
          <w:p w14:paraId="4396BB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begin"/>
            </w:r>
            <w:r>
              <w:rPr>
                <w:rFonts w:hint="eastAsia" w:ascii="仿宋_GB2312" w:hAnsi="仿宋_GB2312" w:eastAsia="仿宋_GB2312" w:cs="仿宋_GB2312"/>
                <w:b/>
                <w:bCs/>
                <w:color w:val="auto"/>
                <w:kern w:val="2"/>
                <w:sz w:val="21"/>
                <w:szCs w:val="21"/>
                <w:highlight w:val="none"/>
                <w:vertAlign w:val="baseline"/>
                <w:lang w:val="en-US" w:eastAsia="zh-CN" w:bidi="ar-SA"/>
              </w:rPr>
              <w:instrText xml:space="preserve"> = sum(E2:E9) \* MERGEFORMAT </w:instrText>
            </w: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separate"/>
            </w:r>
            <w:r>
              <w:rPr>
                <w:rFonts w:hint="eastAsia" w:ascii="仿宋_GB2312" w:hAnsi="仿宋_GB2312" w:eastAsia="仿宋_GB2312" w:cs="仿宋_GB2312"/>
                <w:b/>
                <w:bCs/>
                <w:color w:val="auto"/>
                <w:kern w:val="2"/>
                <w:sz w:val="21"/>
                <w:szCs w:val="21"/>
                <w:highlight w:val="none"/>
                <w:vertAlign w:val="baseline"/>
                <w:lang w:val="en-US" w:eastAsia="zh-CN" w:bidi="ar-SA"/>
              </w:rPr>
              <w:t>35</w:t>
            </w: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end"/>
            </w:r>
          </w:p>
        </w:tc>
        <w:tc>
          <w:tcPr>
            <w:tcW w:w="868" w:type="dxa"/>
            <w:tcBorders>
              <w:top w:val="single" w:color="000000" w:sz="4" w:space="0"/>
              <w:left w:val="single" w:color="000000" w:sz="4" w:space="0"/>
              <w:bottom w:val="single" w:color="000000" w:sz="4" w:space="0"/>
            </w:tcBorders>
            <w:noWrap w:val="0"/>
            <w:vAlign w:val="center"/>
          </w:tcPr>
          <w:p w14:paraId="22672AA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begin"/>
            </w:r>
            <w:r>
              <w:rPr>
                <w:rFonts w:hint="eastAsia" w:ascii="仿宋_GB2312" w:hAnsi="仿宋_GB2312" w:eastAsia="仿宋_GB2312" w:cs="仿宋_GB2312"/>
                <w:b/>
                <w:bCs/>
                <w:color w:val="auto"/>
                <w:kern w:val="2"/>
                <w:sz w:val="21"/>
                <w:szCs w:val="21"/>
                <w:highlight w:val="none"/>
                <w:vertAlign w:val="baseline"/>
                <w:lang w:val="en-US" w:eastAsia="zh-CN" w:bidi="ar-SA"/>
              </w:rPr>
              <w:instrText xml:space="preserve"> = sum(F2:F9) \* MERGEFORMAT </w:instrText>
            </w: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separate"/>
            </w:r>
            <w:r>
              <w:rPr>
                <w:rFonts w:hint="eastAsia" w:ascii="仿宋_GB2312" w:hAnsi="仿宋_GB2312" w:eastAsia="仿宋_GB2312" w:cs="仿宋_GB2312"/>
                <w:b/>
                <w:bCs/>
                <w:color w:val="auto"/>
                <w:kern w:val="2"/>
                <w:sz w:val="21"/>
                <w:szCs w:val="21"/>
                <w:highlight w:val="none"/>
                <w:vertAlign w:val="baseline"/>
                <w:lang w:val="en-US" w:eastAsia="zh-CN" w:bidi="ar-SA"/>
              </w:rPr>
              <w:t>30</w:t>
            </w:r>
            <w:r>
              <w:rPr>
                <w:rFonts w:hint="eastAsia" w:ascii="仿宋_GB2312" w:hAnsi="仿宋_GB2312" w:eastAsia="仿宋_GB2312" w:cs="仿宋_GB2312"/>
                <w:b/>
                <w:bCs/>
                <w:color w:val="auto"/>
                <w:kern w:val="2"/>
                <w:sz w:val="21"/>
                <w:szCs w:val="21"/>
                <w:highlight w:val="none"/>
                <w:vertAlign w:val="baseline"/>
                <w:lang w:val="en-US" w:eastAsia="zh-CN" w:bidi="ar-SA"/>
              </w:rPr>
              <w:fldChar w:fldCharType="end"/>
            </w:r>
          </w:p>
        </w:tc>
      </w:tr>
    </w:tbl>
    <w:p w14:paraId="10FEFADB">
      <w:pPr>
        <w:pStyle w:val="2"/>
        <w:keepNext w:val="0"/>
        <w:keepLines w:val="0"/>
        <w:pageBreakBefore w:val="0"/>
        <w:widowControl w:val="0"/>
        <w:numPr>
          <w:ilvl w:val="0"/>
          <w:numId w:val="0"/>
        </w:numPr>
        <w:kinsoku/>
        <w:wordWrap/>
        <w:overflowPunct/>
        <w:topLinePunct w:val="0"/>
        <w:autoSpaceDE/>
        <w:autoSpaceDN/>
        <w:bidi w:val="0"/>
        <w:adjustRightInd/>
        <w:snapToGrid/>
        <w:spacing w:before="165" w:beforeLines="50" w:after="0" w:line="560" w:lineRule="exact"/>
        <w:ind w:right="0" w:righ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1.经济效益方面。</w:t>
      </w:r>
      <w:r>
        <w:rPr>
          <w:rFonts w:hint="eastAsia" w:ascii="仿宋_GB2312" w:hAnsi="仿宋_GB2312" w:eastAsia="仿宋_GB2312" w:cs="仿宋_GB2312"/>
          <w:color w:val="auto"/>
          <w:kern w:val="2"/>
          <w:sz w:val="32"/>
          <w:szCs w:val="32"/>
          <w:highlight w:val="none"/>
          <w:lang w:val="en-US" w:eastAsia="zh-CN" w:bidi="ar-SA"/>
        </w:rPr>
        <w:t>项目实施可有效控制财政支出成本，节约经费</w:t>
      </w:r>
      <w:r>
        <w:rPr>
          <w:rFonts w:hint="eastAsia" w:ascii="仿宋_GB2312" w:hAnsi="仿宋_GB2312" w:eastAsia="仿宋_GB2312" w:cs="仿宋_GB2312"/>
          <w:color w:val="auto"/>
          <w:sz w:val="32"/>
          <w:szCs w:val="32"/>
          <w:highlight w:val="none"/>
          <w:lang w:val="en-US" w:eastAsia="zh-CN"/>
        </w:rPr>
        <w:t>。因此，</w:t>
      </w:r>
      <w:r>
        <w:rPr>
          <w:rFonts w:hint="eastAsia" w:ascii="仿宋_GB2312" w:hAnsi="仿宋_GB2312" w:eastAsia="仿宋_GB2312" w:cs="仿宋_GB2312"/>
          <w:color w:val="auto"/>
          <w:kern w:val="2"/>
          <w:sz w:val="32"/>
          <w:szCs w:val="32"/>
          <w:highlight w:val="none"/>
          <w:lang w:val="en-US" w:eastAsia="zh-CN" w:bidi="ar-SA"/>
        </w:rPr>
        <w:t>项目经济效益较为明显</w:t>
      </w:r>
      <w:r>
        <w:rPr>
          <w:rFonts w:hint="eastAsia" w:ascii="仿宋_GB2312" w:hAnsi="仿宋_GB2312" w:eastAsia="仿宋_GB2312" w:cs="仿宋_GB2312"/>
          <w:color w:val="auto"/>
          <w:kern w:val="2"/>
          <w:sz w:val="32"/>
          <w:szCs w:val="32"/>
          <w:highlight w:val="none"/>
          <w:lang w:val="zh-CN" w:eastAsia="zh-CN" w:bidi="ar-SA"/>
        </w:rPr>
        <w:t>。</w:t>
      </w:r>
    </w:p>
    <w:p w14:paraId="53A9FBEB">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2.社会效益方面。</w:t>
      </w:r>
      <w:r>
        <w:rPr>
          <w:rFonts w:hint="eastAsia" w:ascii="仿宋_GB2312" w:hAnsi="仿宋_GB2312" w:eastAsia="仿宋_GB2312" w:cs="仿宋_GB2312"/>
          <w:b w:val="0"/>
          <w:bCs w:val="0"/>
          <w:i w:val="0"/>
          <w:iCs w:val="0"/>
          <w:caps w:val="0"/>
          <w:color w:val="auto"/>
          <w:spacing w:val="0"/>
          <w:kern w:val="2"/>
          <w:sz w:val="32"/>
          <w:szCs w:val="32"/>
          <w:highlight w:val="none"/>
          <w:shd w:val="clear" w:fill="FFFFFF"/>
          <w:lang w:val="en-US" w:eastAsia="zh-CN" w:bidi="ar-SA"/>
        </w:rPr>
        <w:t>通过项目实施,</w:t>
      </w:r>
      <w:r>
        <w:rPr>
          <w:rFonts w:hint="eastAsia" w:ascii="仿宋_GB2312" w:hAnsi="仿宋_GB2312" w:eastAsia="仿宋_GB2312" w:cs="仿宋_GB2312"/>
          <w:color w:val="auto"/>
          <w:kern w:val="2"/>
          <w:sz w:val="32"/>
          <w:szCs w:val="32"/>
          <w:highlight w:val="none"/>
          <w:lang w:val="en-US" w:eastAsia="zh-CN" w:bidi="ar-SA"/>
        </w:rPr>
        <w:t>不仅可</w:t>
      </w:r>
      <w:r>
        <w:rPr>
          <w:rFonts w:hint="default" w:ascii="仿宋_GB2312" w:hAnsi="仿宋_GB2312" w:eastAsia="仿宋_GB2312" w:cs="仿宋_GB2312"/>
          <w:color w:val="auto"/>
          <w:kern w:val="2"/>
          <w:sz w:val="32"/>
          <w:szCs w:val="32"/>
          <w:highlight w:val="none"/>
          <w:lang w:val="en-US" w:eastAsia="zh-CN" w:bidi="ar-SA"/>
        </w:rPr>
        <w:t>提供夜间照明</w:t>
      </w:r>
      <w:r>
        <w:rPr>
          <w:rFonts w:hint="eastAsia" w:ascii="仿宋_GB2312" w:hAnsi="仿宋_GB2312" w:eastAsia="仿宋_GB2312" w:cs="仿宋_GB2312"/>
          <w:color w:val="auto"/>
          <w:kern w:val="2"/>
          <w:sz w:val="32"/>
          <w:szCs w:val="32"/>
          <w:highlight w:val="none"/>
          <w:lang w:val="en-US" w:eastAsia="zh-CN" w:bidi="ar-SA"/>
        </w:rPr>
        <w:t>，</w:t>
      </w:r>
      <w:r>
        <w:rPr>
          <w:rFonts w:hint="default" w:ascii="仿宋_GB2312" w:hAnsi="仿宋_GB2312" w:eastAsia="仿宋_GB2312" w:cs="仿宋_GB2312"/>
          <w:color w:val="auto"/>
          <w:kern w:val="2"/>
          <w:sz w:val="32"/>
          <w:szCs w:val="32"/>
          <w:highlight w:val="none"/>
          <w:lang w:val="en-US" w:eastAsia="zh-CN" w:bidi="ar-SA"/>
        </w:rPr>
        <w:t>保障行人和车辆夜间出行的安全，减少因视线不良引发的交通事故</w:t>
      </w:r>
      <w:r>
        <w:rPr>
          <w:rFonts w:hint="eastAsia" w:ascii="仿宋_GB2312" w:hAnsi="仿宋_GB2312" w:eastAsia="仿宋_GB2312" w:cs="仿宋_GB2312"/>
          <w:color w:val="auto"/>
          <w:kern w:val="2"/>
          <w:sz w:val="32"/>
          <w:szCs w:val="32"/>
          <w:highlight w:val="none"/>
          <w:lang w:val="en-US" w:eastAsia="zh-CN" w:bidi="ar-SA"/>
        </w:rPr>
        <w:t>；还可</w:t>
      </w:r>
      <w:r>
        <w:rPr>
          <w:rFonts w:hint="default" w:ascii="仿宋_GB2312" w:hAnsi="仿宋_GB2312" w:eastAsia="仿宋_GB2312" w:cs="仿宋_GB2312"/>
          <w:color w:val="auto"/>
          <w:kern w:val="2"/>
          <w:sz w:val="32"/>
          <w:szCs w:val="32"/>
          <w:highlight w:val="none"/>
          <w:lang w:val="en-US" w:eastAsia="zh-CN" w:bidi="ar-SA"/>
        </w:rPr>
        <w:t>增强治安防范</w:t>
      </w:r>
      <w:r>
        <w:rPr>
          <w:rFonts w:hint="eastAsia" w:ascii="仿宋_GB2312" w:hAnsi="仿宋_GB2312" w:eastAsia="仿宋_GB2312" w:cs="仿宋_GB2312"/>
          <w:color w:val="auto"/>
          <w:kern w:val="2"/>
          <w:sz w:val="32"/>
          <w:szCs w:val="32"/>
          <w:highlight w:val="none"/>
          <w:lang w:val="en-US" w:eastAsia="zh-CN" w:bidi="ar-SA"/>
        </w:rPr>
        <w:t>作用。</w:t>
      </w:r>
      <w:r>
        <w:rPr>
          <w:rFonts w:hint="default" w:ascii="仿宋_GB2312" w:hAnsi="仿宋_GB2312" w:eastAsia="仿宋_GB2312" w:cs="仿宋_GB2312"/>
          <w:color w:val="auto"/>
          <w:kern w:val="2"/>
          <w:sz w:val="32"/>
          <w:szCs w:val="32"/>
          <w:highlight w:val="none"/>
          <w:lang w:val="en-US" w:eastAsia="zh-CN" w:bidi="ar-SA"/>
        </w:rPr>
        <w:t>有助于提高城市的公共安全水平，威慑犯罪行为</w:t>
      </w:r>
      <w:r>
        <w:rPr>
          <w:rFonts w:hint="eastAsia" w:ascii="仿宋_GB2312" w:hAnsi="仿宋_GB2312" w:eastAsia="仿宋_GB2312" w:cs="仿宋_GB2312"/>
          <w:color w:val="auto"/>
          <w:kern w:val="2"/>
          <w:sz w:val="32"/>
          <w:szCs w:val="32"/>
          <w:highlight w:val="none"/>
          <w:lang w:val="en-US" w:eastAsia="zh-CN" w:bidi="ar-SA"/>
        </w:rPr>
        <w:t>；也可</w:t>
      </w:r>
      <w:r>
        <w:rPr>
          <w:rFonts w:hint="default" w:ascii="仿宋_GB2312" w:hAnsi="仿宋_GB2312" w:eastAsia="仿宋_GB2312" w:cs="仿宋_GB2312"/>
          <w:color w:val="auto"/>
          <w:kern w:val="2"/>
          <w:sz w:val="32"/>
          <w:szCs w:val="32"/>
          <w:highlight w:val="none"/>
          <w:lang w:val="en-US" w:eastAsia="zh-CN" w:bidi="ar-SA"/>
        </w:rPr>
        <w:t>提升城市的整体形象和文化内涵</w:t>
      </w:r>
      <w:r>
        <w:rPr>
          <w:rFonts w:hint="eastAsia" w:ascii="仿宋_GB2312" w:hAnsi="仿宋_GB2312" w:eastAsia="仿宋_GB2312" w:cs="仿宋_GB2312"/>
          <w:color w:val="auto"/>
          <w:kern w:val="2"/>
          <w:sz w:val="32"/>
          <w:szCs w:val="32"/>
          <w:highlight w:val="none"/>
          <w:lang w:val="en-US" w:eastAsia="zh-CN" w:bidi="ar-SA"/>
        </w:rPr>
        <w:t>。但因群众满意度未达标，在一定程度影响了项目社会效益。</w:t>
      </w:r>
    </w:p>
    <w:p w14:paraId="73BFD4A8">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3.生态环境方面。通过项目的实施，</w:t>
      </w:r>
      <w:r>
        <w:rPr>
          <w:rFonts w:hint="eastAsia" w:ascii="仿宋_GB2312" w:hAnsi="仿宋_GB2312" w:eastAsia="仿宋_GB2312" w:cs="仿宋_GB2312"/>
          <w:color w:val="auto"/>
          <w:kern w:val="2"/>
          <w:sz w:val="32"/>
          <w:szCs w:val="32"/>
          <w:highlight w:val="none"/>
          <w:lang w:val="en-US" w:eastAsia="zh-CN" w:bidi="ar-SA"/>
        </w:rPr>
        <w:t>可</w:t>
      </w:r>
      <w:r>
        <w:rPr>
          <w:rFonts w:hint="default" w:ascii="仿宋_GB2312" w:hAnsi="仿宋_GB2312" w:eastAsia="仿宋_GB2312" w:cs="仿宋_GB2312"/>
          <w:color w:val="auto"/>
          <w:kern w:val="2"/>
          <w:sz w:val="32"/>
          <w:szCs w:val="32"/>
          <w:highlight w:val="none"/>
          <w:lang w:val="en-US" w:eastAsia="zh-CN" w:bidi="ar-SA"/>
        </w:rPr>
        <w:t>提供夜间照明</w:t>
      </w:r>
      <w:r>
        <w:rPr>
          <w:rFonts w:hint="eastAsia" w:ascii="仿宋_GB2312" w:hAnsi="仿宋_GB2312" w:eastAsia="仿宋_GB2312" w:cs="仿宋_GB2312"/>
          <w:color w:val="auto"/>
          <w:kern w:val="2"/>
          <w:sz w:val="32"/>
          <w:szCs w:val="32"/>
          <w:highlight w:val="none"/>
          <w:lang w:val="en-US" w:eastAsia="zh-CN" w:bidi="ar-SA"/>
        </w:rPr>
        <w:t>，具有美化亮化城市的明显作用和效果。因此，</w:t>
      </w:r>
      <w:r>
        <w:rPr>
          <w:rFonts w:hint="eastAsia" w:ascii="仿宋_GB2312" w:hAnsi="仿宋_GB2312" w:eastAsia="仿宋_GB2312" w:cs="仿宋_GB2312"/>
          <w:color w:val="auto"/>
          <w:sz w:val="32"/>
          <w:szCs w:val="32"/>
          <w:highlight w:val="none"/>
          <w:lang w:val="en-US" w:eastAsia="zh-CN"/>
        </w:rPr>
        <w:t>项目生态环境效益好。</w:t>
      </w:r>
    </w:p>
    <w:p w14:paraId="31F94259">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4.可持续影响方面。</w:t>
      </w:r>
      <w:r>
        <w:rPr>
          <w:rFonts w:hint="eastAsia" w:ascii="仿宋_GB2312" w:hAnsi="仿宋_GB2312" w:eastAsia="仿宋_GB2312" w:cs="仿宋_GB2312"/>
          <w:color w:val="auto"/>
          <w:kern w:val="2"/>
          <w:sz w:val="32"/>
          <w:szCs w:val="32"/>
          <w:highlight w:val="none"/>
          <w:lang w:val="en-US" w:eastAsia="zh-CN" w:bidi="ar-SA"/>
        </w:rPr>
        <w:t>通过项目实施，</w:t>
      </w:r>
      <w:r>
        <w:rPr>
          <w:rFonts w:hint="default" w:ascii="仿宋_GB2312" w:hAnsi="仿宋_GB2312" w:eastAsia="仿宋_GB2312" w:cs="仿宋_GB2312"/>
          <w:color w:val="auto"/>
          <w:kern w:val="2"/>
          <w:sz w:val="32"/>
          <w:szCs w:val="32"/>
          <w:highlight w:val="none"/>
          <w:lang w:val="en-US" w:eastAsia="zh-CN" w:bidi="ar-SA"/>
        </w:rPr>
        <w:t>有助于提高城市的公共安全水平</w:t>
      </w:r>
      <w:r>
        <w:rPr>
          <w:rFonts w:hint="eastAsia" w:ascii="仿宋_GB2312" w:hAnsi="仿宋_GB2312" w:eastAsia="仿宋_GB2312" w:cs="仿宋_GB2312"/>
          <w:color w:val="auto"/>
          <w:kern w:val="2"/>
          <w:sz w:val="32"/>
          <w:szCs w:val="32"/>
          <w:highlight w:val="none"/>
          <w:lang w:val="en-US" w:eastAsia="zh-CN" w:bidi="ar-SA"/>
        </w:rPr>
        <w:t>，促进经济社会高质量可持续发展</w:t>
      </w:r>
      <w:r>
        <w:rPr>
          <w:rFonts w:hint="eastAsia" w:ascii="仿宋_GB2312" w:hAnsi="仿宋_GB2312" w:eastAsia="仿宋_GB2312" w:cs="仿宋_GB2312"/>
          <w:color w:val="auto"/>
          <w:sz w:val="32"/>
          <w:szCs w:val="32"/>
          <w:highlight w:val="none"/>
          <w:lang w:val="en-US" w:eastAsia="zh-CN"/>
        </w:rPr>
        <w:t>。但由于考核指标体系不够健全，在一定程度影响了项目可持续发展。</w:t>
      </w:r>
    </w:p>
    <w:p w14:paraId="145A6EF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5.受表彰情况。项目实施单位相关工作2024年未受到市级以上表彰奖励。</w:t>
      </w:r>
    </w:p>
    <w:p w14:paraId="5E1375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6.满意度方面。通过走访扶风县部分环卫人员，公安交警及群众和随机发放纸质调查问卷结果显示，群众整体满意度约为92.7%，大多数群众对项目的实施满意度较高。但仍有一些群众对项目实施中存在一些路段的路灯故障处置不及时的现象，表示不满意</w:t>
      </w:r>
      <w:r>
        <w:rPr>
          <w:rFonts w:hint="eastAsia" w:ascii="仿宋_GB2312" w:hAnsi="仿宋_GB2312" w:eastAsia="仿宋_GB2312" w:cs="仿宋_GB2312"/>
          <w:color w:val="auto"/>
          <w:kern w:val="2"/>
          <w:sz w:val="32"/>
          <w:szCs w:val="32"/>
          <w:highlight w:val="none"/>
          <w:lang w:val="en-US" w:eastAsia="zh-CN" w:bidi="ar-SA"/>
        </w:rPr>
        <w:t>。</w:t>
      </w:r>
    </w:p>
    <w:p w14:paraId="4394B28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评价组认为，项目资金管理有序，经济效益，社会效益较好，可持续影响较为长远。但仍有一些群众对项目故障处置及时性方面不够满意。</w:t>
      </w:r>
    </w:p>
    <w:p w14:paraId="27D61B10">
      <w:pPr>
        <w:widowControl w:val="0"/>
        <w:spacing w:line="600" w:lineRule="exact"/>
        <w:ind w:firstLine="646" w:firstLineChars="200"/>
        <w:outlineLvl w:val="0"/>
        <w:rPr>
          <w:rFonts w:hint="eastAsia" w:ascii="仿宋_GB2312" w:hAnsi="仿宋_GB2312" w:eastAsia="仿宋_GB2312" w:cs="仿宋_GB2312"/>
          <w:b/>
          <w:bCs/>
          <w:color w:val="auto"/>
          <w:sz w:val="32"/>
          <w:szCs w:val="32"/>
          <w:highlight w:val="green"/>
          <w:lang w:val="en-US" w:eastAsia="zh-CN"/>
        </w:rPr>
      </w:pPr>
      <w:bookmarkStart w:id="1" w:name="_Toc7209"/>
      <w:bookmarkStart w:id="2" w:name="_Toc2070"/>
      <w:r>
        <w:rPr>
          <w:rFonts w:hint="eastAsia" w:ascii="黑体" w:hAnsi="黑体" w:eastAsia="黑体" w:cs="黑体"/>
          <w:b w:val="0"/>
          <w:bCs w:val="0"/>
          <w:color w:val="auto"/>
          <w:kern w:val="2"/>
          <w:sz w:val="32"/>
          <w:szCs w:val="32"/>
          <w:highlight w:val="none"/>
          <w:lang w:val="en-US" w:eastAsia="zh-CN" w:bidi="ar-SA"/>
        </w:rPr>
        <w:t>五、主要经验、做法</w:t>
      </w:r>
      <w:bookmarkEnd w:id="1"/>
      <w:bookmarkEnd w:id="2"/>
      <w:r>
        <w:rPr>
          <w:rFonts w:hint="eastAsia" w:ascii="黑体" w:hAnsi="黑体" w:eastAsia="黑体" w:cs="黑体"/>
          <w:b w:val="0"/>
          <w:bCs w:val="0"/>
          <w:color w:val="auto"/>
          <w:kern w:val="2"/>
          <w:sz w:val="32"/>
          <w:szCs w:val="32"/>
          <w:highlight w:val="none"/>
          <w:lang w:val="en-US" w:eastAsia="zh-CN" w:bidi="ar-SA"/>
        </w:rPr>
        <w:t>及亮点</w:t>
      </w:r>
    </w:p>
    <w:p w14:paraId="60BF5E5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 w:hAnsi="楷体" w:eastAsia="楷体" w:cs="楷体"/>
          <w:b/>
          <w:bCs/>
          <w:color w:val="auto"/>
          <w:kern w:val="2"/>
          <w:sz w:val="32"/>
          <w:szCs w:val="32"/>
          <w:highlight w:val="none"/>
          <w:lang w:val="en-US" w:eastAsia="zh-CN" w:bidi="ar-SA"/>
        </w:rPr>
        <w:t>（一）项目预算编制科学合理。</w:t>
      </w:r>
      <w:r>
        <w:rPr>
          <w:rFonts w:hint="eastAsia" w:ascii="仿宋_GB2312" w:hAnsi="仿宋_GB2312" w:eastAsia="仿宋_GB2312" w:cs="仿宋_GB2312"/>
          <w:color w:val="auto"/>
          <w:sz w:val="32"/>
          <w:szCs w:val="32"/>
          <w:highlight w:val="none"/>
          <w:lang w:val="en-US" w:eastAsia="zh-CN"/>
        </w:rPr>
        <w:t>一是预算编制科学合理、精准贴合实际需求，不仅为项目顺利开展奠定了坚实基础，也充分彰显了相关部门的管理成效。二是项目预算执行率高，既确保了资金的有效利用，又保障了项目顺利实施，达成预期目标，值得充分肯定。</w:t>
      </w:r>
    </w:p>
    <w:p w14:paraId="4A5895F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楷体" w:hAnsi="楷体" w:eastAsia="楷体" w:cs="楷体"/>
          <w:b/>
          <w:bCs/>
          <w:color w:val="auto"/>
          <w:kern w:val="2"/>
          <w:sz w:val="32"/>
          <w:szCs w:val="32"/>
          <w:highlight w:val="none"/>
          <w:lang w:val="en-US" w:eastAsia="zh-CN" w:bidi="ar-SA"/>
        </w:rPr>
        <w:t>（二）运行成本控制成效明显。</w:t>
      </w:r>
      <w:r>
        <w:rPr>
          <w:rFonts w:hint="eastAsia" w:ascii="仿宋_GB2312" w:hAnsi="仿宋_GB2312" w:eastAsia="仿宋_GB2312" w:cs="仿宋_GB2312"/>
          <w:color w:val="auto"/>
          <w:sz w:val="32"/>
          <w:szCs w:val="32"/>
          <w:highlight w:val="none"/>
          <w:lang w:val="en-US" w:eastAsia="zh-CN"/>
        </w:rPr>
        <w:t>通过项目的实施，不仅具有明显的社会效益，也有良好经济效益，能将扶风县路灯电力线路红绿灯等设施运行维护费用控制在财政预算范围内，有效防止了不可控的电费和维护费支出，成本控制成效明显。</w:t>
      </w:r>
    </w:p>
    <w:p w14:paraId="78D70D45">
      <w:pPr>
        <w:keepNext w:val="0"/>
        <w:keepLines w:val="0"/>
        <w:widowControl/>
        <w:suppressLineNumbers w:val="0"/>
        <w:ind w:firstLine="646" w:firstLineChars="200"/>
        <w:jc w:val="left"/>
        <w:rPr>
          <w:rFonts w:hint="eastAsia" w:ascii="黑体" w:hAnsi="黑体" w:eastAsia="黑体" w:cs="黑体"/>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kern w:val="2"/>
          <w:sz w:val="32"/>
          <w:szCs w:val="32"/>
          <w:highlight w:val="none"/>
          <w:lang w:val="en-US" w:eastAsia="zh-CN" w:bidi="ar-SA"/>
        </w:rPr>
        <w:t>存在的问题及原因分析</w:t>
      </w:r>
    </w:p>
    <w:p w14:paraId="3D1C0B2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（一）项目实施方案不明确。</w:t>
      </w:r>
      <w:r>
        <w:rPr>
          <w:rFonts w:hint="eastAsia" w:ascii="仿宋_GB2312" w:hAnsi="仿宋_GB2312" w:eastAsia="仿宋_GB2312" w:cs="仿宋_GB2312"/>
          <w:color w:val="auto"/>
          <w:kern w:val="2"/>
          <w:sz w:val="32"/>
          <w:szCs w:val="32"/>
          <w:highlight w:val="none"/>
          <w:lang w:val="en-US" w:eastAsia="zh-CN" w:bidi="ar-SA"/>
        </w:rPr>
        <w:t>项目实施单位未编制项目实施方案，致使项目实施的数量、质量、时效、考核方式等计划内容，以及保障措施不明确，无法为项目顺利实施提供指导和支撑。</w:t>
      </w:r>
    </w:p>
    <w:p w14:paraId="3CDA2FC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（二）考核指标不明确，未签订整体运行维护合同。</w:t>
      </w:r>
      <w:r>
        <w:rPr>
          <w:rFonts w:hint="eastAsia" w:ascii="仿宋_GB2312" w:hAnsi="仿宋_GB2312" w:eastAsia="仿宋_GB2312" w:cs="仿宋_GB2312"/>
          <w:color w:val="auto"/>
          <w:kern w:val="2"/>
          <w:sz w:val="32"/>
          <w:szCs w:val="32"/>
          <w:highlight w:val="none"/>
          <w:lang w:val="en-US" w:eastAsia="zh-CN" w:bidi="ar-SA"/>
        </w:rPr>
        <w:t>一是项目未建立路灯及线路故障率、处置时效、照明亮度等考核指标体系。因此，也无法对项目实施情况进行有效的考评。二是项目实施单位仅与电力公司方面签订了设施维护方面的协议，而没有就360.00万元所对应的实施内容及目标任务实现情况签订相关协议，其已签订合同约束性不强。</w:t>
      </w:r>
    </w:p>
    <w:p w14:paraId="15D6AE4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（三）部分路段电力线路有老化现象。</w:t>
      </w:r>
      <w:r>
        <w:rPr>
          <w:rFonts w:hint="eastAsia" w:ascii="仿宋_GB2312" w:hAnsi="仿宋_GB2312" w:eastAsia="仿宋_GB2312" w:cs="仿宋_GB2312"/>
          <w:color w:val="auto"/>
          <w:sz w:val="32"/>
          <w:szCs w:val="32"/>
          <w:highlight w:val="none"/>
          <w:lang w:val="en-US" w:eastAsia="zh-CN"/>
        </w:rPr>
        <w:t>部分路段电力线路由于运行年代较长，加之负荷逐年增大，导致线路出现老化及故障频发的现象，给运维工作增加了一定的难度。</w:t>
      </w:r>
    </w:p>
    <w:p w14:paraId="06C5889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（四）相关管理工作不到位。</w:t>
      </w:r>
      <w:r>
        <w:rPr>
          <w:rFonts w:hint="eastAsia" w:ascii="仿宋_GB2312" w:hAnsi="仿宋_GB2312" w:eastAsia="仿宋_GB2312" w:cs="仿宋_GB2312"/>
          <w:color w:val="auto"/>
          <w:kern w:val="2"/>
          <w:sz w:val="32"/>
          <w:szCs w:val="32"/>
          <w:highlight w:val="none"/>
          <w:lang w:val="en-US" w:eastAsia="zh-CN"/>
        </w:rPr>
        <w:t>一是制度建设存在不足，一方面</w:t>
      </w:r>
      <w:r>
        <w:rPr>
          <w:rFonts w:hint="eastAsia" w:ascii="仿宋_GB2312" w:hAnsi="仿宋_GB2312" w:eastAsia="仿宋_GB2312" w:cs="仿宋_GB2312"/>
          <w:color w:val="auto"/>
          <w:sz w:val="32"/>
          <w:szCs w:val="32"/>
          <w:highlight w:val="none"/>
          <w:lang w:val="en-US" w:eastAsia="zh-CN"/>
        </w:rPr>
        <w:t>是项目相关制度的不健全；另一方面是制度执行有效性不足，主要是制度检查、考核等记录等资料不够完整</w:t>
      </w:r>
      <w:r>
        <w:rPr>
          <w:rFonts w:hint="eastAsia" w:ascii="仿宋_GB2312" w:hAnsi="仿宋_GB2312" w:eastAsia="仿宋_GB2312" w:cs="仿宋_GB2312"/>
          <w:color w:val="auto"/>
          <w:kern w:val="2"/>
          <w:sz w:val="32"/>
          <w:szCs w:val="32"/>
          <w:highlight w:val="none"/>
          <w:lang w:val="en-US" w:eastAsia="zh-CN"/>
        </w:rPr>
        <w:t xml:space="preserve">。二是项目资料档案管理不够到位。  </w:t>
      </w:r>
    </w:p>
    <w:p w14:paraId="6945864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（五）项目绩效管理工作存在不足。</w:t>
      </w:r>
      <w:r>
        <w:rPr>
          <w:rFonts w:hint="eastAsia" w:ascii="仿宋_GB2312" w:hAnsi="仿宋_GB2312" w:eastAsia="仿宋_GB2312" w:cs="仿宋_GB2312"/>
          <w:color w:val="auto"/>
          <w:kern w:val="2"/>
          <w:sz w:val="32"/>
          <w:szCs w:val="32"/>
          <w:highlight w:val="none"/>
          <w:lang w:val="en-US" w:eastAsia="zh-CN" w:bidi="ar-SA"/>
        </w:rPr>
        <w:t>尽管项目实施单位已开展了绩效管理工作，但仍存在着对预算绩效管理认识不够到位，绩效管理机制尚未建立，部分绩效目标设置不够合理、不够明确，绩效自评工作不规范，自评报告不详实，绩效责任约束作用不强等问题。</w:t>
      </w:r>
    </w:p>
    <w:p w14:paraId="5489CFDD">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firstLine="646" w:firstLineChars="200"/>
        <w:textAlignment w:val="auto"/>
        <w:rPr>
          <w:rFonts w:hint="eastAsia" w:ascii="黑体" w:hAnsi="黑体" w:eastAsia="黑体" w:cs="仿宋_GB2312"/>
          <w:color w:val="auto"/>
          <w:sz w:val="32"/>
          <w:szCs w:val="32"/>
          <w:highlight w:val="none"/>
          <w:lang w:val="en-US" w:eastAsia="zh-CN"/>
        </w:rPr>
      </w:pPr>
      <w:r>
        <w:rPr>
          <w:rFonts w:hint="eastAsia" w:ascii="黑体" w:hAnsi="黑体" w:eastAsia="黑体" w:cs="仿宋_GB2312"/>
          <w:color w:val="auto"/>
          <w:sz w:val="32"/>
          <w:szCs w:val="32"/>
          <w:highlight w:val="none"/>
          <w:lang w:val="en-US" w:eastAsia="zh-CN"/>
        </w:rPr>
        <w:t>七、相关建议</w:t>
      </w:r>
    </w:p>
    <w:p w14:paraId="0EC7225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firstLine="646" w:firstLineChars="200"/>
        <w:textAlignment w:val="auto"/>
        <w:rPr>
          <w:rFonts w:hint="eastAsia" w:ascii="楷体" w:hAnsi="楷体" w:eastAsia="楷体" w:cs="楷体"/>
          <w:b/>
          <w:bCs/>
          <w:color w:val="auto"/>
          <w:kern w:val="2"/>
          <w:sz w:val="32"/>
          <w:szCs w:val="32"/>
          <w:highlight w:val="green"/>
          <w:lang w:val="en-US" w:eastAsia="zh-CN" w:bidi="ar-SA"/>
        </w:rPr>
      </w:pPr>
      <w:r>
        <w:rPr>
          <w:rFonts w:hint="eastAsia" w:ascii="楷体" w:hAnsi="楷体" w:eastAsia="楷体" w:cs="楷体"/>
          <w:b/>
          <w:bCs/>
          <w:color w:val="auto"/>
          <w:kern w:val="2"/>
          <w:sz w:val="32"/>
          <w:szCs w:val="32"/>
          <w:highlight w:val="none"/>
          <w:lang w:val="en-US" w:eastAsia="zh-CN" w:bidi="ar-SA"/>
        </w:rPr>
        <w:t>（一）精心编制实施方案和计划，为项目实施提供指导。</w:t>
      </w:r>
      <w:r>
        <w:rPr>
          <w:rFonts w:hint="eastAsia" w:ascii="仿宋_GB2312" w:hAnsi="仿宋_GB2312" w:eastAsia="仿宋_GB2312" w:cs="仿宋_GB2312"/>
          <w:color w:val="auto"/>
          <w:kern w:val="2"/>
          <w:sz w:val="32"/>
          <w:szCs w:val="32"/>
          <w:highlight w:val="none"/>
          <w:lang w:val="en-US" w:eastAsia="zh-CN" w:bidi="ar-SA"/>
        </w:rPr>
        <w:t>项目单位应根据项目中长期发展规划及其工作总体安排等情况，认真制定内容明确、方案清晰、实施计划、期限、时效、考核方式、资金使用及保障措施等具体、切实可行的项目年度工作计划及实施方案，为项目顺利建设提供</w:t>
      </w:r>
      <w:r>
        <w:rPr>
          <w:rFonts w:hint="default" w:ascii="仿宋_GB2312" w:hAnsi="仿宋_GB2312" w:eastAsia="仿宋_GB2312" w:cs="仿宋_GB2312"/>
          <w:color w:val="auto"/>
          <w:kern w:val="2"/>
          <w:sz w:val="32"/>
          <w:szCs w:val="32"/>
          <w:highlight w:val="none"/>
          <w:lang w:val="en-US" w:eastAsia="zh-CN" w:bidi="ar-SA"/>
        </w:rPr>
        <w:t>依据和</w:t>
      </w:r>
      <w:r>
        <w:rPr>
          <w:rFonts w:hint="eastAsia" w:ascii="仿宋_GB2312" w:hAnsi="仿宋_GB2312" w:eastAsia="仿宋_GB2312" w:cs="仿宋_GB2312"/>
          <w:color w:val="auto"/>
          <w:kern w:val="2"/>
          <w:sz w:val="32"/>
          <w:szCs w:val="32"/>
          <w:highlight w:val="none"/>
          <w:lang w:val="en-US" w:eastAsia="zh-CN" w:bidi="ar-SA"/>
        </w:rPr>
        <w:t>指导。</w:t>
      </w:r>
    </w:p>
    <w:p w14:paraId="079B6A5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（二）建立考核机制，明确考核指标，签订整体运行维护合同。</w:t>
      </w:r>
      <w:r>
        <w:rPr>
          <w:rFonts w:hint="eastAsia" w:ascii="仿宋_GB2312" w:hAnsi="仿宋_GB2312" w:eastAsia="仿宋_GB2312" w:cs="仿宋_GB2312"/>
          <w:color w:val="auto"/>
          <w:kern w:val="2"/>
          <w:sz w:val="32"/>
          <w:szCs w:val="32"/>
          <w:highlight w:val="none"/>
          <w:lang w:val="en-US" w:eastAsia="zh-CN" w:bidi="ar-SA"/>
        </w:rPr>
        <w:t>一要建立项目考核与监督机制，明确责任，责任到人，加强监督管理。二要根据项目特点及实施内容，制订切实可行的包括路灯及线路故障率、处置时效、照明亮度等在内的考核指标体系，并按照指标体系进行必要考核，按考核结果进行奖惩。三应签订整体运行维护合同，将考核指标及相关要求贯穿其中，没有必要就设施维护单独签订合同协议（设施维护应该是整体合同的一个方面）。</w:t>
      </w:r>
    </w:p>
    <w:p w14:paraId="6D6118A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楷体" w:hAnsi="楷体" w:eastAsia="楷体" w:cs="楷体"/>
          <w:b/>
          <w:bCs/>
          <w:color w:val="auto"/>
          <w:kern w:val="2"/>
          <w:sz w:val="32"/>
          <w:szCs w:val="32"/>
          <w:highlight w:val="none"/>
          <w:lang w:val="en-US" w:eastAsia="zh-CN" w:bidi="ar-SA"/>
        </w:rPr>
        <w:t>（三）认真排查相关路段电力线路情况，做好升级改造规划。</w:t>
      </w:r>
      <w:r>
        <w:rPr>
          <w:rFonts w:hint="eastAsia" w:ascii="仿宋_GB2312" w:hAnsi="仿宋_GB2312" w:eastAsia="仿宋_GB2312" w:cs="仿宋_GB2312"/>
          <w:color w:val="auto"/>
          <w:sz w:val="32"/>
          <w:szCs w:val="32"/>
          <w:highlight w:val="none"/>
          <w:lang w:val="en-US" w:eastAsia="zh-CN"/>
        </w:rPr>
        <w:t>针对部分路段电力线路存在运行年代较长，负荷逐年增大，线路出现老化及故障频发的现象和问题。电力部门应制订排查及升级改造方案或发展规划，认真开展电力线路专项排查与升级改造行动，将问题化解在可控范围内，并通过</w:t>
      </w:r>
      <w:r>
        <w:rPr>
          <w:rFonts w:hint="default" w:ascii="仿宋_GB2312" w:hAnsi="仿宋_GB2312" w:eastAsia="仿宋_GB2312" w:cs="仿宋_GB2312"/>
          <w:color w:val="auto"/>
          <w:sz w:val="32"/>
          <w:szCs w:val="32"/>
          <w:highlight w:val="none"/>
          <w:lang w:val="en-US" w:eastAsia="zh-CN"/>
        </w:rPr>
        <w:t>数字赋能</w:t>
      </w:r>
      <w:r>
        <w:rPr>
          <w:rFonts w:hint="eastAsia" w:ascii="仿宋_GB2312" w:hAnsi="仿宋_GB2312" w:eastAsia="仿宋_GB2312" w:cs="仿宋_GB2312"/>
          <w:color w:val="auto"/>
          <w:sz w:val="32"/>
          <w:szCs w:val="32"/>
          <w:highlight w:val="none"/>
          <w:lang w:val="en-US" w:eastAsia="zh-CN"/>
        </w:rPr>
        <w:t>，积极</w:t>
      </w:r>
      <w:r>
        <w:rPr>
          <w:rFonts w:hint="default" w:ascii="仿宋_GB2312" w:hAnsi="仿宋_GB2312" w:eastAsia="仿宋_GB2312" w:cs="仿宋_GB2312"/>
          <w:color w:val="auto"/>
          <w:sz w:val="32"/>
          <w:szCs w:val="32"/>
          <w:highlight w:val="none"/>
          <w:lang w:val="en-US" w:eastAsia="zh-CN"/>
        </w:rPr>
        <w:t>构建电网GIS系统，实现线路状态实时监测与故障智能预警</w:t>
      </w:r>
      <w:r>
        <w:rPr>
          <w:rFonts w:hint="eastAsia" w:ascii="仿宋_GB2312" w:hAnsi="仿宋_GB2312" w:eastAsia="仿宋_GB2312" w:cs="仿宋_GB2312"/>
          <w:color w:val="auto"/>
          <w:sz w:val="32"/>
          <w:szCs w:val="32"/>
          <w:highlight w:val="none"/>
          <w:lang w:val="en-US" w:eastAsia="zh-CN"/>
        </w:rPr>
        <w:t>，为扶风县路灯电力线路红绿灯等设施稳定运行提供保障</w:t>
      </w:r>
      <w:r>
        <w:rPr>
          <w:rFonts w:hint="default" w:ascii="仿宋_GB2312" w:hAnsi="仿宋_GB2312" w:eastAsia="仿宋_GB2312" w:cs="仿宋_GB2312"/>
          <w:color w:val="auto"/>
          <w:sz w:val="32"/>
          <w:szCs w:val="32"/>
          <w:highlight w:val="none"/>
          <w:lang w:val="en-US" w:eastAsia="zh-CN"/>
        </w:rPr>
        <w:t>。</w:t>
      </w:r>
    </w:p>
    <w:p w14:paraId="4179339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rightChars="0" w:firstLine="646"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（四）加强项目管理，确保各项工作落实落细。</w:t>
      </w:r>
      <w:r>
        <w:rPr>
          <w:rFonts w:hint="eastAsia" w:ascii="仿宋_GB2312" w:hAnsi="仿宋_GB2312" w:eastAsia="仿宋_GB2312" w:cs="仿宋_GB2312"/>
          <w:b w:val="0"/>
          <w:bCs w:val="0"/>
          <w:color w:val="auto"/>
          <w:kern w:val="2"/>
          <w:sz w:val="32"/>
          <w:szCs w:val="32"/>
          <w:highlight w:val="none"/>
          <w:lang w:val="en-US" w:eastAsia="zh-CN" w:bidi="ar-SA"/>
        </w:rPr>
        <w:t>一</w:t>
      </w:r>
      <w:r>
        <w:rPr>
          <w:rFonts w:hint="default" w:ascii="仿宋_GB2312" w:hAnsi="仿宋_GB2312" w:eastAsia="仿宋_GB2312" w:cs="仿宋_GB2312"/>
          <w:b w:val="0"/>
          <w:bCs w:val="0"/>
          <w:color w:val="auto"/>
          <w:kern w:val="2"/>
          <w:sz w:val="32"/>
          <w:szCs w:val="32"/>
          <w:highlight w:val="none"/>
          <w:lang w:val="en-US" w:eastAsia="zh-CN" w:bidi="ar-SA"/>
        </w:rPr>
        <w:t>要</w:t>
      </w:r>
      <w:r>
        <w:rPr>
          <w:rFonts w:hint="eastAsia" w:ascii="仿宋_GB2312" w:hAnsi="仿宋_GB2312" w:eastAsia="仿宋_GB2312" w:cs="仿宋_GB2312"/>
          <w:b w:val="0"/>
          <w:bCs w:val="0"/>
          <w:color w:val="auto"/>
          <w:kern w:val="2"/>
          <w:sz w:val="32"/>
          <w:szCs w:val="32"/>
          <w:highlight w:val="none"/>
          <w:lang w:val="en-US" w:eastAsia="zh-CN" w:bidi="ar-SA"/>
        </w:rPr>
        <w:t>建立健全项目相关管理制度，重点要修订、细化完善项目运管、监督、考核、财务等制度，对完善后的制度要以正式行文的方式进行发布，明确制度时效，加盖公章，增强制度的约束力，为项目顺利实施提供制度保障。二要强化制度的执行力和约束力。“制度的生命力在于执行”。因此，各项目单位要切实强化制度意识，自觉尊崇制度、严格执行制度，坚决维护制度的严肃性和权威性；</w:t>
      </w:r>
      <w:r>
        <w:rPr>
          <w:rFonts w:hint="default" w:ascii="仿宋_GB2312" w:hAnsi="仿宋_GB2312" w:eastAsia="仿宋_GB2312" w:cs="仿宋_GB2312"/>
          <w:b w:val="0"/>
          <w:bCs w:val="0"/>
          <w:color w:val="auto"/>
          <w:kern w:val="2"/>
          <w:sz w:val="32"/>
          <w:szCs w:val="32"/>
          <w:highlight w:val="none"/>
          <w:lang w:val="en-US" w:eastAsia="zh-CN" w:bidi="ar-SA"/>
        </w:rPr>
        <w:t>要</w:t>
      </w:r>
      <w:r>
        <w:rPr>
          <w:rFonts w:hint="eastAsia" w:ascii="仿宋_GB2312" w:hAnsi="仿宋_GB2312" w:eastAsia="仿宋_GB2312" w:cs="仿宋_GB2312"/>
          <w:b w:val="0"/>
          <w:bCs w:val="0"/>
          <w:color w:val="auto"/>
          <w:kern w:val="2"/>
          <w:sz w:val="32"/>
          <w:szCs w:val="32"/>
          <w:highlight w:val="none"/>
          <w:lang w:val="en-US" w:eastAsia="zh-CN" w:bidi="ar-SA"/>
        </w:rPr>
        <w:t>建立</w:t>
      </w:r>
      <w:r>
        <w:rPr>
          <w:rFonts w:hint="default" w:ascii="仿宋_GB2312" w:hAnsi="仿宋_GB2312" w:eastAsia="仿宋_GB2312" w:cs="仿宋_GB2312"/>
          <w:b w:val="0"/>
          <w:bCs w:val="0"/>
          <w:color w:val="auto"/>
          <w:kern w:val="2"/>
          <w:sz w:val="32"/>
          <w:szCs w:val="32"/>
          <w:highlight w:val="none"/>
          <w:lang w:val="en-US" w:eastAsia="zh-CN" w:bidi="ar-SA"/>
        </w:rPr>
        <w:t>全覆盖的</w:t>
      </w:r>
      <w:r>
        <w:rPr>
          <w:rFonts w:hint="eastAsia" w:ascii="仿宋_GB2312" w:hAnsi="仿宋_GB2312" w:eastAsia="仿宋_GB2312" w:cs="仿宋_GB2312"/>
          <w:b w:val="0"/>
          <w:bCs w:val="0"/>
          <w:color w:val="auto"/>
          <w:kern w:val="2"/>
          <w:sz w:val="32"/>
          <w:szCs w:val="32"/>
          <w:highlight w:val="none"/>
          <w:lang w:val="en-US" w:eastAsia="zh-CN" w:bidi="ar-SA"/>
        </w:rPr>
        <w:t>制度执行监督、考核、奖惩和追究机制，</w:t>
      </w:r>
      <w:r>
        <w:rPr>
          <w:rFonts w:hint="default" w:ascii="仿宋_GB2312" w:hAnsi="仿宋_GB2312" w:eastAsia="仿宋_GB2312" w:cs="仿宋_GB2312"/>
          <w:b w:val="0"/>
          <w:bCs w:val="0"/>
          <w:color w:val="auto"/>
          <w:kern w:val="2"/>
          <w:sz w:val="32"/>
          <w:szCs w:val="32"/>
          <w:highlight w:val="none"/>
          <w:lang w:val="en-US" w:eastAsia="zh-CN" w:bidi="ar-SA"/>
        </w:rPr>
        <w:t>强化日常督察和专项检查</w:t>
      </w:r>
      <w:r>
        <w:rPr>
          <w:rFonts w:hint="eastAsia" w:ascii="仿宋_GB2312" w:hAnsi="仿宋_GB2312" w:eastAsia="仿宋_GB2312" w:cs="仿宋_GB2312"/>
          <w:b w:val="0"/>
          <w:bCs w:val="0"/>
          <w:color w:val="auto"/>
          <w:kern w:val="2"/>
          <w:sz w:val="32"/>
          <w:szCs w:val="32"/>
          <w:highlight w:val="none"/>
          <w:lang w:val="en-US" w:eastAsia="zh-CN" w:bidi="ar-SA"/>
        </w:rPr>
        <w:t>，不断增强制度的执行力和约束力，让制度管用见效。三要加强资料档案管理。一方面要建立健全资料管理制度，加强资料管理工作，规范资料管理行为，认真做好项目资料的收集和归类工作；另一方面要建立项目资料档案，认真做好项目资料的整理、立卷、归档、保管工作，确保项目资料完整、准确、齐全，并及时归档。</w:t>
      </w:r>
    </w:p>
    <w:p w14:paraId="17DB3310">
      <w:pPr>
        <w:pStyle w:val="3"/>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（五）增强绩效意识，强化绩效管理。</w:t>
      </w:r>
      <w:r>
        <w:rPr>
          <w:rFonts w:hint="eastAsia" w:ascii="仿宋_GB2312" w:hAnsi="仿宋_GB2312" w:eastAsia="仿宋_GB2312" w:cs="仿宋_GB2312"/>
          <w:color w:val="auto"/>
          <w:kern w:val="2"/>
          <w:sz w:val="32"/>
          <w:szCs w:val="32"/>
          <w:highlight w:val="none"/>
          <w:lang w:val="en-US" w:eastAsia="zh-CN" w:bidi="ar-SA"/>
        </w:rPr>
        <w:t>一是项目单位要切实增强绩效管理理念，树立绩效管理意识，筑牢“花钱必问效，无效必问责”的绩效理念，要学懂弄通项目绩效考核指标的各项要求，掌握指标内容和含义，努力提高绩效目标编制的完整性和规范性，并要着力健全项目绩效长效机制。二是项目单位要强化预算绩效目标管理，科学设置项目绩效目标，</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i3R41Ewdd5mEguxzKHLJ0zRK9RCMpbIE2ohWRNgO+nbr7/MK322ZLB+nUyMJaIS/zPAt0Iy7kJ6updQyJj7q74l2KsT+8LTwogzKMLWZXlqrPFSZwry0iEQqSBiN9pbdSjnNJDPvQ7sPJsQH3c47w0pVhevl1fm+xbwiCme6DJL+sUfbAAUOS6XsQ9kabDDRLdm0MRhmD1cOjuAD17a62yPAihHBZCfAhbRrWmTkgrxbIDW+nGR8LLUvtxMoJur/q8fv1gGy6bCGxiNmHQkAiDWUF/6dbdbI4KyHnGEtk8HYxm61Ibfz6J+ygfbBSIxdozCDYwcmfeXFE+H4a//WbkfIr4ZRMHn8i1ODMmqr+AHDI7ZlsHxk5Z5aUg63ATuqrGEddxQWpqM="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切实增强绩效目标的完整性、相关性、适当性和可行性</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确保项目绩效目标与政策目标、社会公众需求、财政投入规模、部门职责职能、项目实施计划等相匹配。三是项目单位要切实担负起预算绩效管理主体责任，进一步完善内部管理机制，严格按照既定的项目绩效目标指标任务，科学规划行动方案，制定确保项目目标实现的保障措施，同时，要加强预算绩效管理</w:t>
      </w:r>
      <w:r>
        <w:rPr>
          <w:rFonts w:hint="default" w:ascii="仿宋_GB2312" w:hAnsi="仿宋_GB2312" w:eastAsia="仿宋_GB2312" w:cs="仿宋_GB2312"/>
          <w:color w:val="auto"/>
          <w:kern w:val="2"/>
          <w:sz w:val="32"/>
          <w:szCs w:val="32"/>
          <w:highlight w:val="none"/>
          <w:lang w:val="en-US" w:eastAsia="zh-CN" w:bidi="ar-SA"/>
        </w:rPr>
        <w:t>的监督检查力度</w:t>
      </w:r>
      <w:r>
        <w:rPr>
          <w:rFonts w:hint="eastAsia" w:ascii="仿宋_GB2312" w:hAnsi="仿宋_GB2312" w:eastAsia="仿宋_GB2312" w:cs="仿宋_GB2312"/>
          <w:color w:val="auto"/>
          <w:kern w:val="2"/>
          <w:sz w:val="32"/>
          <w:szCs w:val="32"/>
          <w:highlight w:val="none"/>
          <w:lang w:val="en-US" w:eastAsia="zh-CN" w:bidi="ar-SA"/>
        </w:rPr>
        <w:t>，着力</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nd0CS7m7t9AaAvPB2vH3BRP3/yfQNsp7znNkGwWuAe2gRUIUiYZWEEBblmgEYi8HDloBvW8bC0mfHnSxA9UV1RBK/q3fx8zjIVpaTUgIaI3PDpZjJw+1eKU+k5YLUEFStmegNVtQIutFjMVz2F2ygLqp5a5M4MsKcIfm1NDvADG/SVEEgtZsLfSEEFShYsXI52EGDRCuBmB4+bEXdNWf7HQiuw3pahee5pto3xMW5uZP03jp72j5kYnxo5Z8Oll7hG6fwixOvCgwBFnMyWQeGVuYLi05PdBLV6tdSyohm7xKa/ACeP3f3vzV8oTGbts7"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提高财政资金使用效益</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四是项目单位要扎实开展绩效自评工作，通过对项目相关制度建立情况、资金使用情况、绩效目标实现等情况进行自我评价，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同时，要认真、准确填写自评数据表，形成详实的自评报告。</w:t>
      </w:r>
    </w:p>
    <w:p w14:paraId="5A36569F">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p>
    <w:p w14:paraId="28E825A1">
      <w:pPr>
        <w:pStyle w:val="2"/>
        <w:rPr>
          <w:rFonts w:hint="eastAsia" w:ascii="仿宋_GB2312" w:hAnsi="仿宋_GB2312" w:eastAsia="仿宋_GB2312" w:cs="仿宋_GB2312"/>
          <w:color w:val="auto"/>
          <w:sz w:val="32"/>
          <w:szCs w:val="32"/>
          <w:highlight w:val="none"/>
        </w:rPr>
      </w:pPr>
    </w:p>
    <w:p w14:paraId="16B6FEAB">
      <w:pPr>
        <w:pStyle w:val="3"/>
        <w:rPr>
          <w:rFonts w:hint="eastAsia"/>
        </w:rPr>
      </w:pPr>
    </w:p>
    <w:p w14:paraId="3F74AF87">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项目绩效评价指标体系及评分表</w:t>
      </w:r>
    </w:p>
    <w:p w14:paraId="6D969A7D">
      <w:pPr>
        <w:keepNext w:val="0"/>
        <w:keepLines w:val="0"/>
        <w:pageBreakBefore w:val="0"/>
        <w:widowControl w:val="0"/>
        <w:kinsoku/>
        <w:wordWrap/>
        <w:overflowPunct/>
        <w:topLinePunct w:val="0"/>
        <w:autoSpaceDE/>
        <w:autoSpaceDN/>
        <w:bidi w:val="0"/>
        <w:adjustRightInd/>
        <w:snapToGrid/>
        <w:spacing w:line="660" w:lineRule="exact"/>
        <w:ind w:firstLine="1938" w:firstLineChars="600"/>
        <w:textAlignment w:val="auto"/>
        <w:rPr>
          <w:rFonts w:hint="eastAsia" w:ascii="仿宋" w:hAnsi="仿宋" w:eastAsia="仿宋" w:cs="仿宋"/>
          <w:color w:val="auto"/>
          <w:sz w:val="32"/>
          <w:szCs w:val="32"/>
        </w:rPr>
      </w:pPr>
    </w:p>
    <w:p w14:paraId="761B0EAC">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1DD401E4">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扶风县财政局</w:t>
      </w:r>
    </w:p>
    <w:p w14:paraId="06519FC1">
      <w:pPr>
        <w:keepNext w:val="0"/>
        <w:keepLines w:val="0"/>
        <w:pageBreakBefore w:val="0"/>
        <w:widowControl w:val="0"/>
        <w:tabs>
          <w:tab w:val="left" w:pos="7050"/>
          <w:tab w:val="left" w:pos="720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color w:val="auto"/>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日</w:t>
      </w:r>
    </w:p>
    <w:p w14:paraId="353B752E">
      <w:pPr>
        <w:outlineLvl w:val="0"/>
        <w:rPr>
          <w:rFonts w:hint="eastAsia" w:ascii="黑体" w:hAnsi="黑体" w:eastAsia="黑体" w:cs="黑体"/>
          <w:color w:val="auto"/>
          <w:sz w:val="32"/>
          <w:szCs w:val="32"/>
          <w:highlight w:val="none"/>
        </w:rPr>
        <w:sectPr>
          <w:headerReference r:id="rId6" w:type="first"/>
          <w:footerReference r:id="rId8" w:type="first"/>
          <w:headerReference r:id="rId5" w:type="default"/>
          <w:footerReference r:id="rId7" w:type="default"/>
          <w:pgSz w:w="11906" w:h="16838"/>
          <w:pgMar w:top="1417" w:right="1559" w:bottom="1417" w:left="1701" w:header="851" w:footer="992" w:gutter="0"/>
          <w:pgBorders>
            <w:top w:val="none" w:sz="0" w:space="0"/>
            <w:left w:val="none" w:sz="0" w:space="0"/>
            <w:bottom w:val="none" w:sz="0" w:space="0"/>
            <w:right w:val="none" w:sz="0" w:space="0"/>
          </w:pgBorders>
          <w:pgNumType w:fmt="decimal" w:start="1"/>
          <w:cols w:space="720" w:num="1"/>
          <w:titlePg/>
          <w:rtlGutter w:val="0"/>
          <w:docGrid w:type="linesAndChars" w:linePitch="327" w:charSpace="625"/>
        </w:sectPr>
      </w:pPr>
    </w:p>
    <w:p w14:paraId="2B582A41">
      <w:pPr>
        <w:outlineLvl w:val="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p>
    <w:tbl>
      <w:tblPr>
        <w:tblStyle w:val="14"/>
        <w:tblW w:w="142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0"/>
        <w:gridCol w:w="839"/>
        <w:gridCol w:w="1367"/>
        <w:gridCol w:w="7042"/>
        <w:gridCol w:w="804"/>
        <w:gridCol w:w="825"/>
        <w:gridCol w:w="2753"/>
      </w:tblGrid>
      <w:tr w14:paraId="3FC0B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4210" w:type="dxa"/>
            <w:gridSpan w:val="7"/>
            <w:tcBorders>
              <w:top w:val="nil"/>
              <w:left w:val="nil"/>
              <w:bottom w:val="nil"/>
              <w:right w:val="nil"/>
            </w:tcBorders>
            <w:noWrap w:val="0"/>
            <w:vAlign w:val="center"/>
          </w:tcPr>
          <w:p w14:paraId="7A6A1FF9">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仿宋_GB2312" w:hAnsi="仿宋_GB2312" w:eastAsia="仿宋_GB2312" w:cs="仿宋_GB2312"/>
                <w:b/>
                <w:bCs/>
                <w:color w:val="auto"/>
                <w:sz w:val="32"/>
                <w:szCs w:val="32"/>
                <w:highlight w:val="none"/>
                <w:lang w:val="en-US" w:eastAsia="zh-CN"/>
              </w:rPr>
              <w:t xml:space="preserve">2024年扶风县路灯电力线路红绿灯等设施运行维护项目绩效评价指标体系及评分表 </w:t>
            </w:r>
            <w:r>
              <w:rPr>
                <w:rFonts w:hint="eastAsia" w:ascii="宋体" w:hAnsi="宋体" w:eastAsia="宋体" w:cs="宋体"/>
                <w:b/>
                <w:bCs/>
                <w:i w:val="0"/>
                <w:iCs w:val="0"/>
                <w:color w:val="auto"/>
                <w:kern w:val="0"/>
                <w:sz w:val="18"/>
                <w:szCs w:val="18"/>
                <w:u w:val="none"/>
                <w:lang w:val="en-US" w:eastAsia="zh-CN" w:bidi="ar"/>
              </w:rPr>
              <w:t xml:space="preserve">                                              </w:t>
            </w:r>
          </w:p>
        </w:tc>
      </w:tr>
      <w:tr w14:paraId="3C77A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580"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1DF4C492">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一级</w:t>
            </w:r>
          </w:p>
          <w:p w14:paraId="1051D2DE">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839"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79D3AFE7">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二级</w:t>
            </w:r>
          </w:p>
          <w:p w14:paraId="0F0ADD90">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5D0891D2">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三级</w:t>
            </w:r>
          </w:p>
          <w:p w14:paraId="3FF75E80">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指标</w:t>
            </w:r>
          </w:p>
        </w:tc>
        <w:tc>
          <w:tcPr>
            <w:tcW w:w="7042"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8D6346">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三级指标评分标准</w:t>
            </w:r>
          </w:p>
        </w:tc>
        <w:tc>
          <w:tcPr>
            <w:tcW w:w="804"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66F21109">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三级指标分值权重</w:t>
            </w:r>
          </w:p>
        </w:tc>
        <w:tc>
          <w:tcPr>
            <w:tcW w:w="825"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2798BF6D">
            <w:pPr>
              <w:keepNext w:val="0"/>
              <w:keepLines w:val="0"/>
              <w:widowControl/>
              <w:suppressLineNumbers w:val="0"/>
              <w:jc w:val="center"/>
              <w:textAlignment w:val="center"/>
              <w:rPr>
                <w:rFonts w:hint="eastAsia" w:ascii="宋体" w:hAnsi="宋体" w:eastAsia="宋体" w:cs="宋体"/>
                <w:b/>
                <w:bCs/>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三级指标评价得分</w:t>
            </w:r>
          </w:p>
        </w:tc>
        <w:tc>
          <w:tcPr>
            <w:tcW w:w="2753" w:type="dxa"/>
            <w:tcBorders>
              <w:top w:val="single" w:color="000000" w:sz="4" w:space="0"/>
              <w:left w:val="single" w:color="000000" w:sz="4" w:space="0"/>
              <w:bottom w:val="single" w:color="000000" w:sz="4" w:space="0"/>
              <w:right w:val="single" w:color="000000" w:sz="4" w:space="0"/>
            </w:tcBorders>
            <w:shd w:val="clear" w:color="auto" w:fill="FFFFFF" w:themeFill="background1"/>
            <w:noWrap w:val="0"/>
            <w:vAlign w:val="center"/>
          </w:tcPr>
          <w:p w14:paraId="2D44B2B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bCs/>
                <w:i w:val="0"/>
                <w:iCs w:val="0"/>
                <w:color w:val="auto"/>
                <w:kern w:val="0"/>
                <w:sz w:val="18"/>
                <w:szCs w:val="18"/>
                <w:highlight w:val="none"/>
                <w:u w:val="none"/>
                <w:lang w:val="en-US" w:eastAsia="zh-CN" w:bidi="ar"/>
              </w:rPr>
              <w:t>扣分原因</w:t>
            </w:r>
          </w:p>
        </w:tc>
      </w:tr>
      <w:tr w14:paraId="538A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9003AE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决策︵</w:t>
            </w:r>
          </w:p>
          <w:p w14:paraId="6963433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12分︶</w:t>
            </w:r>
          </w:p>
        </w:tc>
        <w:tc>
          <w:tcPr>
            <w:tcW w:w="839" w:type="dxa"/>
            <w:vMerge w:val="restart"/>
            <w:tcBorders>
              <w:top w:val="single" w:color="000000" w:sz="4" w:space="0"/>
              <w:left w:val="single" w:color="000000" w:sz="4" w:space="0"/>
              <w:bottom w:val="single" w:color="000000" w:sz="4" w:space="0"/>
              <w:right w:val="single" w:color="000000" w:sz="4" w:space="0"/>
            </w:tcBorders>
            <w:noWrap w:val="0"/>
            <w:vAlign w:val="center"/>
          </w:tcPr>
          <w:p w14:paraId="090C3D3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w:t>
            </w:r>
          </w:p>
          <w:p w14:paraId="240B632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立项</w:t>
            </w:r>
          </w:p>
          <w:p w14:paraId="10C0E19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ED5936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立项依据  </w:t>
            </w:r>
          </w:p>
          <w:p w14:paraId="46D9CB0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充分性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3A17CAAF">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①项目立项符合国家法律法规、国民经济发展规划和相关政策，得0.5分；</w:t>
            </w:r>
          </w:p>
          <w:p w14:paraId="5015154A">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②项目立项符合行业发展规划和政策要求，得0.5分；</w:t>
            </w:r>
          </w:p>
          <w:p w14:paraId="6D687897">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③项目立项与部门职责范围相符，属于部门履职所必需，得0.5分；</w:t>
            </w:r>
          </w:p>
          <w:p w14:paraId="2C2975C7">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④项目属于公共财政支持范围，符合中央、地方事权支出责任划分原则，得0.5分。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8BF2D2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50AE2C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6F46E57">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p>
        </w:tc>
      </w:tr>
      <w:tr w14:paraId="6BE96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FD80C4">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E94263">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729704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立项程序</w:t>
            </w:r>
          </w:p>
          <w:p w14:paraId="56C6A79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规范性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44FF012C">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①项目按照规定的程序申请设立，得0.5分；</w:t>
            </w:r>
          </w:p>
          <w:p w14:paraId="1B18C186">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②审批文件、材料符合相关要求，得0.5分；</w:t>
            </w:r>
          </w:p>
          <w:p w14:paraId="474E8F17">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③项目有完整可行的实施方案或相关报告，得0.5分；</w:t>
            </w:r>
          </w:p>
          <w:p w14:paraId="3312DE2D">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④事前已经过必要的研究、论证、风险评估、绩效评估、集体决策，得0.5分。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6D74FAE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15E5A6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02996B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项目实施方案不够详实，事前绩效评估等工作存在不足</w:t>
            </w:r>
          </w:p>
        </w:tc>
      </w:tr>
      <w:tr w14:paraId="1C1FD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F4AC37">
            <w:pPr>
              <w:jc w:val="center"/>
              <w:rPr>
                <w:rFonts w:hint="eastAsia" w:ascii="宋体" w:hAnsi="宋体" w:eastAsia="宋体" w:cs="宋体"/>
                <w:i w:val="0"/>
                <w:iCs w:val="0"/>
                <w:color w:val="auto"/>
                <w:sz w:val="18"/>
                <w:szCs w:val="18"/>
                <w:u w:val="none"/>
              </w:rPr>
            </w:pPr>
          </w:p>
        </w:tc>
        <w:tc>
          <w:tcPr>
            <w:tcW w:w="839" w:type="dxa"/>
            <w:vMerge w:val="restart"/>
            <w:tcBorders>
              <w:top w:val="single" w:color="000000" w:sz="4" w:space="0"/>
              <w:left w:val="single" w:color="000000" w:sz="4" w:space="0"/>
              <w:bottom w:val="single" w:color="000000" w:sz="4" w:space="0"/>
              <w:right w:val="single" w:color="000000" w:sz="4" w:space="0"/>
            </w:tcBorders>
            <w:noWrap w:val="0"/>
            <w:vAlign w:val="center"/>
          </w:tcPr>
          <w:p w14:paraId="4BFAEBC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绩效</w:t>
            </w:r>
          </w:p>
          <w:p w14:paraId="0C629D8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目标</w:t>
            </w:r>
          </w:p>
          <w:p w14:paraId="56AE891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BE3DA2C">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绩效目标  </w:t>
            </w:r>
          </w:p>
          <w:p w14:paraId="5248661F">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合理性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6D9D9D74">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①项目绩效目标完整，得0.5分；</w:t>
            </w:r>
          </w:p>
          <w:p w14:paraId="13C44740">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②项目绩效目标依据充分、科学合理，得0.5分；                                                         ③与项目实施单位职责密切相关，得0.5分；</w:t>
            </w:r>
          </w:p>
          <w:p w14:paraId="45A23CB5">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④项目预期目标是否符合客观实际，能够在一定期限内如期实现，得0.5分。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0CF1609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5294384E">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F23B712">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cs="宋体"/>
                <w:b w:val="0"/>
                <w:bCs w:val="0"/>
                <w:i w:val="0"/>
                <w:iCs w:val="0"/>
                <w:color w:val="auto"/>
                <w:kern w:val="0"/>
                <w:sz w:val="18"/>
                <w:szCs w:val="18"/>
                <w:highlight w:val="none"/>
                <w:u w:val="none"/>
                <w:lang w:val="en-US" w:eastAsia="zh-CN" w:bidi="ar"/>
              </w:rPr>
              <w:t>个别</w:t>
            </w:r>
            <w:r>
              <w:rPr>
                <w:rFonts w:hint="eastAsia" w:ascii="宋体" w:hAnsi="宋体" w:eastAsia="宋体" w:cs="宋体"/>
                <w:b w:val="0"/>
                <w:bCs w:val="0"/>
                <w:i w:val="0"/>
                <w:iCs w:val="0"/>
                <w:color w:val="auto"/>
                <w:kern w:val="0"/>
                <w:sz w:val="18"/>
                <w:szCs w:val="18"/>
                <w:highlight w:val="none"/>
                <w:u w:val="none"/>
                <w:lang w:val="en-US" w:eastAsia="zh-CN" w:bidi="ar"/>
              </w:rPr>
              <w:t>绩效目标设置不合理</w:t>
            </w:r>
          </w:p>
        </w:tc>
      </w:tr>
      <w:tr w14:paraId="5C010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10D3B0">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76C21">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B419C1D">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绩效指标  </w:t>
            </w:r>
          </w:p>
          <w:p w14:paraId="1FF2BA0A">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明确性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4F997894">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①项目按照绩效目标申报表模板要求填报，内容规范、详实得0.5分；</w:t>
            </w:r>
          </w:p>
          <w:p w14:paraId="0BFD2A75">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②绩效目标通过清晰、可量化的指标体现，得1分；                      </w:t>
            </w:r>
          </w:p>
          <w:p w14:paraId="29107257">
            <w:pPr>
              <w:keepNext w:val="0"/>
              <w:keepLines w:val="0"/>
              <w:widowControl/>
              <w:suppressLineNumbers w:val="0"/>
              <w:jc w:val="both"/>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③绩效目标与项目年度任务数或计划数相对应，得0.5分。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1366AA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79977723">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890D4A7">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cs="宋体"/>
                <w:b w:val="0"/>
                <w:bCs w:val="0"/>
                <w:i w:val="0"/>
                <w:iCs w:val="0"/>
                <w:color w:val="auto"/>
                <w:kern w:val="0"/>
                <w:sz w:val="18"/>
                <w:szCs w:val="18"/>
                <w:highlight w:val="none"/>
                <w:u w:val="none"/>
                <w:lang w:val="en-US" w:eastAsia="zh-CN" w:bidi="ar"/>
              </w:rPr>
              <w:t>个别</w:t>
            </w:r>
            <w:r>
              <w:rPr>
                <w:rFonts w:hint="eastAsia" w:ascii="宋体" w:hAnsi="宋体" w:eastAsia="宋体" w:cs="宋体"/>
                <w:b w:val="0"/>
                <w:bCs w:val="0"/>
                <w:i w:val="0"/>
                <w:iCs w:val="0"/>
                <w:color w:val="auto"/>
                <w:kern w:val="0"/>
                <w:sz w:val="18"/>
                <w:szCs w:val="18"/>
                <w:highlight w:val="none"/>
                <w:u w:val="none"/>
                <w:lang w:val="en-US" w:eastAsia="zh-CN" w:bidi="ar"/>
              </w:rPr>
              <w:t>绩效目标设置不明确</w:t>
            </w:r>
          </w:p>
        </w:tc>
      </w:tr>
      <w:tr w14:paraId="772E9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CFFD7F">
            <w:pPr>
              <w:jc w:val="center"/>
              <w:rPr>
                <w:rFonts w:hint="eastAsia" w:ascii="宋体" w:hAnsi="宋体" w:eastAsia="宋体" w:cs="宋体"/>
                <w:i w:val="0"/>
                <w:iCs w:val="0"/>
                <w:color w:val="auto"/>
                <w:sz w:val="18"/>
                <w:szCs w:val="18"/>
                <w:u w:val="none"/>
              </w:rPr>
            </w:pPr>
          </w:p>
        </w:tc>
        <w:tc>
          <w:tcPr>
            <w:tcW w:w="839" w:type="dxa"/>
            <w:vMerge w:val="restart"/>
            <w:tcBorders>
              <w:top w:val="single" w:color="000000" w:sz="4" w:space="0"/>
              <w:left w:val="single" w:color="000000" w:sz="4" w:space="0"/>
              <w:bottom w:val="single" w:color="000000" w:sz="4" w:space="0"/>
              <w:right w:val="single" w:color="000000" w:sz="4" w:space="0"/>
            </w:tcBorders>
            <w:noWrap w:val="0"/>
            <w:vAlign w:val="center"/>
          </w:tcPr>
          <w:p w14:paraId="5EA5E1E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资金</w:t>
            </w:r>
          </w:p>
          <w:p w14:paraId="3CC58CA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投入</w:t>
            </w:r>
          </w:p>
          <w:p w14:paraId="3B4670E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5941B7A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预算编制   科学性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03DBBF60">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①预算编制经过科学论证，得0.5分；</w:t>
            </w:r>
          </w:p>
          <w:p w14:paraId="672A3038">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②预算内容与项目内容相匹配，得0.5分；</w:t>
            </w:r>
          </w:p>
          <w:p w14:paraId="17716D06">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③预算额度测算依据充分，并能按照标准编制，得0.5分；</w:t>
            </w:r>
          </w:p>
          <w:p w14:paraId="029A62A6">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④预算确定的项目投资额或资金量与工作任务相匹配，得0.5分。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C85357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62B92C5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DB01791">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436AE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F09FEC">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EBA9FE">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BB507E0">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资金分配</w:t>
            </w:r>
          </w:p>
          <w:p w14:paraId="14FA870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合理性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7FF3714F">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eastAsia="宋体" w:cs="宋体"/>
                <w:b w:val="0"/>
                <w:bCs w:val="0"/>
                <w:i w:val="0"/>
                <w:iCs w:val="0"/>
                <w:color w:val="auto"/>
                <w:kern w:val="0"/>
                <w:sz w:val="18"/>
                <w:szCs w:val="18"/>
                <w:highlight w:val="none"/>
                <w:u w:val="none"/>
                <w:lang w:val="en-US" w:eastAsia="zh-CN" w:bidi="ar"/>
              </w:rPr>
              <w:t xml:space="preserve">①预算资金分配依据充分，得1分； </w:t>
            </w:r>
          </w:p>
          <w:p w14:paraId="28AF6D2B">
            <w:pPr>
              <w:keepNext w:val="0"/>
              <w:keepLines w:val="0"/>
              <w:widowControl/>
              <w:suppressLineNumbers w:val="0"/>
              <w:jc w:val="both"/>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kern w:val="0"/>
                <w:sz w:val="18"/>
                <w:szCs w:val="18"/>
                <w:highlight w:val="none"/>
                <w:u w:val="none"/>
                <w:lang w:val="en-US" w:eastAsia="zh-CN" w:bidi="ar"/>
              </w:rPr>
              <w:t>②资金分配额度合理，与项目实施内容相适应，得1分。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ADA206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7FBBBB0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7BC7E5C">
            <w:pPr>
              <w:jc w:val="left"/>
              <w:rPr>
                <w:rFonts w:hint="default" w:ascii="宋体" w:hAnsi="宋体" w:eastAsia="宋体" w:cs="宋体"/>
                <w:b w:val="0"/>
                <w:bCs w:val="0"/>
                <w:i w:val="0"/>
                <w:iCs w:val="0"/>
                <w:color w:val="auto"/>
                <w:sz w:val="18"/>
                <w:szCs w:val="18"/>
                <w:highlight w:val="none"/>
                <w:u w:val="none"/>
                <w:lang w:val="en-US" w:eastAsia="zh-CN"/>
              </w:rPr>
            </w:pPr>
          </w:p>
        </w:tc>
      </w:tr>
      <w:tr w14:paraId="15C6B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4C67FCF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过程</w:t>
            </w:r>
          </w:p>
          <w:p w14:paraId="56CFA1B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w:t>
            </w:r>
          </w:p>
          <w:p w14:paraId="02967EC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15分︶</w:t>
            </w:r>
          </w:p>
        </w:tc>
        <w:tc>
          <w:tcPr>
            <w:tcW w:w="839" w:type="dxa"/>
            <w:vMerge w:val="restart"/>
            <w:tcBorders>
              <w:top w:val="nil"/>
              <w:left w:val="single" w:color="000000" w:sz="4" w:space="0"/>
              <w:bottom w:val="single" w:color="000000" w:sz="4" w:space="0"/>
              <w:right w:val="single" w:color="000000" w:sz="4" w:space="0"/>
            </w:tcBorders>
            <w:noWrap w:val="0"/>
            <w:vAlign w:val="center"/>
          </w:tcPr>
          <w:p w14:paraId="71A373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资金</w:t>
            </w:r>
          </w:p>
          <w:p w14:paraId="38304D6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管理</w:t>
            </w:r>
          </w:p>
          <w:p w14:paraId="0C78E0C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4EB426D0">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资金到位率</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57979911">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资金到位率a=(实际到位资金/预算资金)×100%，且a＜60%不得分。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14A7061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5D84959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F8456F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13472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1E174D">
            <w:pPr>
              <w:jc w:val="center"/>
              <w:rPr>
                <w:rFonts w:hint="eastAsia" w:ascii="宋体" w:hAnsi="宋体" w:eastAsia="宋体" w:cs="宋体"/>
                <w:i w:val="0"/>
                <w:iCs w:val="0"/>
                <w:color w:val="auto"/>
                <w:sz w:val="18"/>
                <w:szCs w:val="18"/>
                <w:u w:val="none"/>
              </w:rPr>
            </w:pPr>
          </w:p>
        </w:tc>
        <w:tc>
          <w:tcPr>
            <w:tcW w:w="839" w:type="dxa"/>
            <w:vMerge w:val="continue"/>
            <w:tcBorders>
              <w:top w:val="nil"/>
              <w:left w:val="single" w:color="000000" w:sz="4" w:space="0"/>
              <w:bottom w:val="single" w:color="000000" w:sz="4" w:space="0"/>
              <w:right w:val="single" w:color="000000" w:sz="4" w:space="0"/>
            </w:tcBorders>
            <w:noWrap w:val="0"/>
            <w:vAlign w:val="center"/>
          </w:tcPr>
          <w:p w14:paraId="63494F62">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03B3E11">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预算执行率</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21FBD243">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预算执行率=(实际支出资金/实际到位资金)×100%.</w:t>
            </w:r>
          </w:p>
          <w:p w14:paraId="3298F2DC">
            <w:pPr>
              <w:keepNext w:val="0"/>
              <w:keepLines w:val="0"/>
              <w:widowControl/>
              <w:suppressLineNumbers w:val="0"/>
              <w:jc w:val="both"/>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评分标准:</w:t>
            </w:r>
          </w:p>
          <w:p w14:paraId="2802DEAD">
            <w:pPr>
              <w:keepNext w:val="0"/>
              <w:keepLines w:val="0"/>
              <w:widowControl/>
              <w:suppressLineNumbers w:val="0"/>
              <w:jc w:val="both"/>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项目完成,且预算执行率控制在年度预算规模之内的,得满分；项目尚未完成,预算执行率小于100%且大于等于60%的按比例得分,预算执行率小于60%的不得分。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8DA8C4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9EAD94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776EFF85">
            <w:pPr>
              <w:jc w:val="left"/>
              <w:rPr>
                <w:rFonts w:hint="eastAsia" w:ascii="宋体" w:hAnsi="宋体" w:eastAsia="宋体" w:cs="宋体"/>
                <w:b w:val="0"/>
                <w:bCs w:val="0"/>
                <w:i w:val="0"/>
                <w:iCs w:val="0"/>
                <w:color w:val="auto"/>
                <w:sz w:val="18"/>
                <w:szCs w:val="18"/>
                <w:highlight w:val="none"/>
                <w:u w:val="none"/>
              </w:rPr>
            </w:pPr>
          </w:p>
        </w:tc>
      </w:tr>
      <w:tr w14:paraId="61D8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27913F">
            <w:pPr>
              <w:jc w:val="center"/>
              <w:rPr>
                <w:rFonts w:hint="eastAsia" w:ascii="宋体" w:hAnsi="宋体" w:eastAsia="宋体" w:cs="宋体"/>
                <w:i w:val="0"/>
                <w:iCs w:val="0"/>
                <w:color w:val="auto"/>
                <w:sz w:val="18"/>
                <w:szCs w:val="18"/>
                <w:u w:val="none"/>
              </w:rPr>
            </w:pPr>
          </w:p>
        </w:tc>
        <w:tc>
          <w:tcPr>
            <w:tcW w:w="839" w:type="dxa"/>
            <w:vMerge w:val="continue"/>
            <w:tcBorders>
              <w:top w:val="nil"/>
              <w:left w:val="single" w:color="000000" w:sz="4" w:space="0"/>
              <w:bottom w:val="single" w:color="000000" w:sz="4" w:space="0"/>
              <w:right w:val="single" w:color="000000" w:sz="4" w:space="0"/>
            </w:tcBorders>
            <w:noWrap w:val="0"/>
            <w:vAlign w:val="center"/>
          </w:tcPr>
          <w:p w14:paraId="4965BB28">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64E2162C">
            <w:pPr>
              <w:keepNext w:val="0"/>
              <w:keepLines w:val="0"/>
              <w:widowControl/>
              <w:suppressLineNumbers w:val="0"/>
              <w:jc w:val="center"/>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资金使用  </w:t>
            </w:r>
          </w:p>
          <w:p w14:paraId="728B8418">
            <w:pPr>
              <w:keepNext w:val="0"/>
              <w:keepLines w:val="0"/>
              <w:widowControl/>
              <w:suppressLineNumbers w:val="0"/>
              <w:jc w:val="center"/>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合规性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5FB37B70">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①符合国家财经法规和财务管理制度以及有关专项资金管理办法，得0.5分；                                                   </w:t>
            </w:r>
          </w:p>
          <w:p w14:paraId="4241FB10">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②资金的拨付有完整的审批程序和手续，得0.5分； </w:t>
            </w:r>
          </w:p>
          <w:p w14:paraId="2F2A0644">
            <w:pPr>
              <w:keepNext w:val="0"/>
              <w:keepLines w:val="0"/>
              <w:widowControl/>
              <w:suppressLineNumbers w:val="0"/>
              <w:jc w:val="left"/>
              <w:textAlignment w:val="center"/>
              <w:rPr>
                <w:rFonts w:hint="eastAsia" w:ascii="宋体" w:hAnsi="宋体" w:eastAsia="宋体" w:cs="宋体"/>
                <w:b w:val="0"/>
                <w:bCs w:val="0"/>
                <w:i w:val="0"/>
                <w:iCs w:val="0"/>
                <w:color w:val="auto"/>
                <w:kern w:val="0"/>
                <w:sz w:val="18"/>
                <w:szCs w:val="18"/>
                <w:u w:val="none"/>
                <w:lang w:val="en-US" w:eastAsia="zh-CN" w:bidi="ar"/>
              </w:rPr>
            </w:pPr>
            <w:r>
              <w:rPr>
                <w:rFonts w:hint="eastAsia" w:ascii="宋体" w:hAnsi="宋体" w:eastAsia="宋体" w:cs="宋体"/>
                <w:b w:val="0"/>
                <w:bCs w:val="0"/>
                <w:i w:val="0"/>
                <w:iCs w:val="0"/>
                <w:color w:val="auto"/>
                <w:kern w:val="0"/>
                <w:sz w:val="18"/>
                <w:szCs w:val="18"/>
                <w:u w:val="none"/>
                <w:lang w:val="en-US" w:eastAsia="zh-CN" w:bidi="ar"/>
              </w:rPr>
              <w:t xml:space="preserve">③符合项目预算批复或合同、以及专项资金管理办法的用途，得1分；                                             ④按时拨付、使用资金，得1分；                              </w:t>
            </w:r>
          </w:p>
          <w:p w14:paraId="111CE4F3">
            <w:pPr>
              <w:keepNext w:val="0"/>
              <w:keepLines w:val="0"/>
              <w:widowControl/>
              <w:suppressLineNumbers w:val="0"/>
              <w:jc w:val="left"/>
              <w:textAlignment w:val="center"/>
              <w:rPr>
                <w:rFonts w:hint="eastAsia" w:ascii="宋体" w:hAnsi="宋体" w:eastAsia="宋体" w:cs="宋体"/>
                <w:b w:val="0"/>
                <w:bCs w:val="0"/>
                <w:i w:val="0"/>
                <w:iCs w:val="0"/>
                <w:color w:val="auto"/>
                <w:sz w:val="18"/>
                <w:szCs w:val="18"/>
                <w:u w:val="none"/>
              </w:rPr>
            </w:pPr>
            <w:r>
              <w:rPr>
                <w:rFonts w:hint="eastAsia" w:ascii="宋体" w:hAnsi="宋体" w:eastAsia="宋体" w:cs="宋体"/>
                <w:b w:val="0"/>
                <w:bCs w:val="0"/>
                <w:i w:val="0"/>
                <w:iCs w:val="0"/>
                <w:color w:val="auto"/>
                <w:kern w:val="0"/>
                <w:sz w:val="18"/>
                <w:szCs w:val="18"/>
                <w:u w:val="none"/>
                <w:lang w:val="en-US" w:eastAsia="zh-CN" w:bidi="ar"/>
              </w:rPr>
              <w:t>⑤存在截留、挤占、挪用、虚列支出等情况，扣3分。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F420A7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0B2105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368BCBB3">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7CBA3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CA561E">
            <w:pPr>
              <w:jc w:val="center"/>
              <w:rPr>
                <w:rFonts w:hint="eastAsia" w:ascii="宋体" w:hAnsi="宋体" w:eastAsia="宋体" w:cs="宋体"/>
                <w:i w:val="0"/>
                <w:iCs w:val="0"/>
                <w:color w:val="auto"/>
                <w:sz w:val="18"/>
                <w:szCs w:val="18"/>
                <w:u w:val="none"/>
              </w:rPr>
            </w:pPr>
          </w:p>
        </w:tc>
        <w:tc>
          <w:tcPr>
            <w:tcW w:w="839" w:type="dxa"/>
            <w:vMerge w:val="restart"/>
            <w:tcBorders>
              <w:top w:val="single" w:color="000000" w:sz="4" w:space="0"/>
              <w:left w:val="single" w:color="000000" w:sz="4" w:space="0"/>
              <w:bottom w:val="single" w:color="000000" w:sz="4" w:space="0"/>
              <w:right w:val="single" w:color="000000" w:sz="4" w:space="0"/>
            </w:tcBorders>
            <w:noWrap w:val="0"/>
            <w:vAlign w:val="center"/>
          </w:tcPr>
          <w:p w14:paraId="02B42CD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组织</w:t>
            </w:r>
          </w:p>
          <w:p w14:paraId="516DF2D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实施</w:t>
            </w:r>
          </w:p>
          <w:p w14:paraId="423469C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6分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2EA8C2D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管理制度  </w:t>
            </w:r>
          </w:p>
          <w:p w14:paraId="25E204A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健全性</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34CD3C7E">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①已制定或具有相应的财务和项目管理（含后期管护）等各项管理制度，得1分；</w:t>
            </w:r>
          </w:p>
          <w:p w14:paraId="34C030A7">
            <w:pPr>
              <w:keepNext w:val="0"/>
              <w:keepLines w:val="0"/>
              <w:widowControl/>
              <w:suppressLineNumbers w:val="0"/>
              <w:jc w:val="both"/>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②财务和项目等各项管理制度合法、合规、完整，得1分；</w:t>
            </w:r>
          </w:p>
          <w:p w14:paraId="04A341F9">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③各项管理制度健全、科学合理，得1分。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0D489E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E7EDAF1">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2C02015F">
            <w:pPr>
              <w:jc w:val="left"/>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b w:val="0"/>
                <w:bCs w:val="0"/>
                <w:i w:val="0"/>
                <w:iCs w:val="0"/>
                <w:color w:val="auto"/>
                <w:sz w:val="18"/>
                <w:szCs w:val="18"/>
                <w:highlight w:val="none"/>
                <w:u w:val="none"/>
                <w:lang w:val="en-US" w:eastAsia="zh-CN"/>
              </w:rPr>
              <w:t>制度</w:t>
            </w:r>
            <w:r>
              <w:rPr>
                <w:rFonts w:hint="eastAsia" w:ascii="宋体" w:hAnsi="宋体" w:cs="宋体"/>
                <w:b w:val="0"/>
                <w:bCs w:val="0"/>
                <w:i w:val="0"/>
                <w:iCs w:val="0"/>
                <w:color w:val="auto"/>
                <w:sz w:val="18"/>
                <w:szCs w:val="18"/>
                <w:highlight w:val="none"/>
                <w:u w:val="none"/>
                <w:lang w:val="en-US" w:eastAsia="zh-CN"/>
              </w:rPr>
              <w:t>不完善</w:t>
            </w:r>
          </w:p>
        </w:tc>
      </w:tr>
      <w:tr w14:paraId="50ECA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C3ACF1">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1E7412">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nil"/>
              <w:right w:val="single" w:color="000000" w:sz="4" w:space="0"/>
            </w:tcBorders>
            <w:noWrap w:val="0"/>
            <w:vAlign w:val="center"/>
          </w:tcPr>
          <w:p w14:paraId="07ECA7A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制度执行  </w:t>
            </w:r>
          </w:p>
          <w:p w14:paraId="61408BC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有效性</w:t>
            </w:r>
          </w:p>
        </w:tc>
        <w:tc>
          <w:tcPr>
            <w:tcW w:w="7042" w:type="dxa"/>
            <w:tcBorders>
              <w:top w:val="single" w:color="000000" w:sz="4" w:space="0"/>
              <w:left w:val="single" w:color="000000" w:sz="4" w:space="0"/>
              <w:bottom w:val="nil"/>
              <w:right w:val="single" w:color="000000" w:sz="4" w:space="0"/>
            </w:tcBorders>
            <w:noWrap w:val="0"/>
            <w:vAlign w:val="center"/>
          </w:tcPr>
          <w:p w14:paraId="08EB4BAB">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①能遵守相关法律法规和相关管理规定，考核记录规范、完整，得0.5分；</w:t>
            </w:r>
          </w:p>
          <w:p w14:paraId="1F684C5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②项目调整及支出调整手续完备，得0.5分；</w:t>
            </w:r>
          </w:p>
          <w:p w14:paraId="2D15F10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③项目实施单位人员条件、设备条件等落实到位，得0.5分；                                                         ④项目招投标工作规范,得0.5分</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w:t>
            </w:r>
          </w:p>
          <w:p w14:paraId="7938EA3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⑤项目招标资料、合同书、验收或检查报告等资料齐全并及时归档，得1分；</w:t>
            </w:r>
          </w:p>
          <w:p w14:paraId="1A9FF8F0">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⑥项目总结（自评）及信息采集报送工作认真、内容完整、详实，得1分。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760373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0A1D113">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1.6</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58FB0E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一是</w:t>
            </w:r>
            <w:r>
              <w:rPr>
                <w:rFonts w:hint="eastAsia" w:ascii="宋体" w:hAnsi="宋体" w:cs="宋体"/>
                <w:i w:val="0"/>
                <w:iCs w:val="0"/>
                <w:color w:val="auto"/>
                <w:kern w:val="0"/>
                <w:sz w:val="18"/>
                <w:szCs w:val="18"/>
                <w:highlight w:val="none"/>
                <w:u w:val="none"/>
                <w:lang w:val="en-US" w:eastAsia="zh-CN" w:bidi="ar"/>
              </w:rPr>
              <w:t>制度执行不到位；二是项目管理不到位；三是资料档案管理不到位；四</w:t>
            </w:r>
            <w:r>
              <w:rPr>
                <w:rFonts w:hint="eastAsia" w:ascii="宋体" w:hAnsi="宋体" w:eastAsia="宋体" w:cs="宋体"/>
                <w:i w:val="0"/>
                <w:iCs w:val="0"/>
                <w:color w:val="auto"/>
                <w:kern w:val="0"/>
                <w:sz w:val="18"/>
                <w:szCs w:val="18"/>
                <w:highlight w:val="none"/>
                <w:u w:val="none"/>
                <w:lang w:val="en-US" w:eastAsia="zh-CN" w:bidi="ar"/>
              </w:rPr>
              <w:t>是项目绩效管理工作不够到位，项目总结、自评等工作不够规范、详实。</w:t>
            </w:r>
          </w:p>
          <w:p w14:paraId="245C4E2E">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53509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580" w:type="dxa"/>
            <w:vMerge w:val="restart"/>
            <w:tcBorders>
              <w:top w:val="single" w:color="000000" w:sz="4" w:space="0"/>
              <w:left w:val="single" w:color="000000" w:sz="4" w:space="0"/>
              <w:bottom w:val="single" w:color="000000" w:sz="4" w:space="0"/>
              <w:right w:val="nil"/>
            </w:tcBorders>
            <w:noWrap w:val="0"/>
            <w:vAlign w:val="center"/>
          </w:tcPr>
          <w:p w14:paraId="04CEBFC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4A95FEE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13分</w:t>
            </w:r>
          </w:p>
          <w:p w14:paraId="40E7E77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w:t>
            </w: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559F941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经济</w:t>
            </w:r>
          </w:p>
          <w:p w14:paraId="4C14B65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314C537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5D0A6F7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单位成本或分项成本</w:t>
            </w:r>
          </w:p>
          <w:p w14:paraId="6213073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节约率</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38AFF89C">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成本节约率=[（计划成本-实际成本）/计划成本]×100%。</w:t>
            </w:r>
          </w:p>
          <w:p w14:paraId="29976A0B">
            <w:pPr>
              <w:keepNext w:val="0"/>
              <w:keepLines w:val="0"/>
              <w:widowControl/>
              <w:suppressLineNumbers w:val="0"/>
              <w:jc w:val="left"/>
              <w:textAlignment w:val="center"/>
              <w:rPr>
                <w:rFonts w:hint="eastAsia"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评分标准：成本节约率≤0不得分；工程建设类项目：成本节约率≥5%得满分；0%-5%之间按比重赋分，得分=成本节约率×20×指标分值。</w:t>
            </w:r>
          </w:p>
          <w:p w14:paraId="374EBDF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sz w:val="18"/>
                <w:szCs w:val="18"/>
                <w:u w:val="none"/>
                <w:lang w:val="en-US" w:eastAsia="zh-CN"/>
              </w:rPr>
              <w:t>其他类项目：成本节约率≥0% 即可得满分。</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733D57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6E5A3E7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95B1512">
            <w:pPr>
              <w:jc w:val="left"/>
              <w:rPr>
                <w:rFonts w:hint="eastAsia" w:ascii="宋体" w:hAnsi="宋体" w:eastAsia="宋体" w:cs="宋体"/>
                <w:b w:val="0"/>
                <w:bCs w:val="0"/>
                <w:i w:val="0"/>
                <w:iCs w:val="0"/>
                <w:color w:val="auto"/>
                <w:sz w:val="18"/>
                <w:szCs w:val="18"/>
                <w:highlight w:val="none"/>
                <w:u w:val="none"/>
              </w:rPr>
            </w:pPr>
          </w:p>
        </w:tc>
      </w:tr>
      <w:tr w14:paraId="41165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trPr>
        <w:tc>
          <w:tcPr>
            <w:tcW w:w="580" w:type="dxa"/>
            <w:vMerge w:val="continue"/>
            <w:tcBorders>
              <w:top w:val="single" w:color="000000" w:sz="4" w:space="0"/>
              <w:left w:val="single" w:color="000000" w:sz="4" w:space="0"/>
              <w:bottom w:val="single" w:color="000000" w:sz="4" w:space="0"/>
              <w:right w:val="nil"/>
            </w:tcBorders>
            <w:noWrap w:val="0"/>
            <w:vAlign w:val="center"/>
          </w:tcPr>
          <w:p w14:paraId="29ECC4E1">
            <w:pPr>
              <w:jc w:val="center"/>
              <w:rPr>
                <w:rFonts w:hint="eastAsia" w:ascii="宋体" w:hAnsi="宋体" w:eastAsia="宋体" w:cs="宋体"/>
                <w:i w:val="0"/>
                <w:iCs w:val="0"/>
                <w:color w:val="auto"/>
                <w:sz w:val="18"/>
                <w:szCs w:val="18"/>
                <w:u w:val="none"/>
              </w:rPr>
            </w:pPr>
          </w:p>
        </w:tc>
        <w:tc>
          <w:tcPr>
            <w:tcW w:w="839" w:type="dxa"/>
            <w:tcBorders>
              <w:top w:val="nil"/>
              <w:left w:val="single" w:color="000000" w:sz="4" w:space="0"/>
              <w:bottom w:val="single" w:color="000000" w:sz="4" w:space="0"/>
              <w:right w:val="single" w:color="000000" w:sz="4" w:space="0"/>
            </w:tcBorders>
            <w:noWrap w:val="0"/>
            <w:vAlign w:val="center"/>
          </w:tcPr>
          <w:p w14:paraId="354C28B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社会</w:t>
            </w:r>
          </w:p>
          <w:p w14:paraId="7E50FBB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成本</w:t>
            </w:r>
          </w:p>
          <w:p w14:paraId="4A726E2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67" w:type="dxa"/>
            <w:tcBorders>
              <w:top w:val="single" w:color="000000" w:sz="4" w:space="0"/>
              <w:left w:val="single" w:color="000000" w:sz="4" w:space="0"/>
              <w:right w:val="single" w:color="000000" w:sz="4" w:space="0"/>
            </w:tcBorders>
            <w:noWrap w:val="0"/>
            <w:vAlign w:val="center"/>
          </w:tcPr>
          <w:p w14:paraId="45FFC945">
            <w:pPr>
              <w:keepNext w:val="0"/>
              <w:keepLines w:val="0"/>
              <w:widowControl/>
              <w:suppressLineNumbers w:val="0"/>
              <w:jc w:val="center"/>
              <w:textAlignment w:val="center"/>
              <w:rPr>
                <w:rFonts w:hint="default" w:ascii="宋体" w:hAnsi="宋体" w:eastAsia="宋体" w:cs="宋体"/>
                <w:i w:val="0"/>
                <w:iCs w:val="0"/>
                <w:color w:val="auto"/>
                <w:sz w:val="18"/>
                <w:szCs w:val="18"/>
                <w:u w:val="none"/>
                <w:lang w:val="en-US" w:eastAsia="zh-CN"/>
              </w:rPr>
            </w:pPr>
            <w:r>
              <w:rPr>
                <w:rFonts w:hint="eastAsia" w:ascii="宋体" w:hAnsi="宋体" w:eastAsia="宋体" w:cs="宋体"/>
                <w:i w:val="0"/>
                <w:iCs w:val="0"/>
                <w:color w:val="auto"/>
                <w:sz w:val="18"/>
                <w:szCs w:val="18"/>
                <w:u w:val="none"/>
                <w:lang w:val="en-US" w:eastAsia="zh-CN"/>
              </w:rPr>
              <w:t>公众支持认可情况</w:t>
            </w:r>
          </w:p>
        </w:tc>
        <w:tc>
          <w:tcPr>
            <w:tcW w:w="7042" w:type="dxa"/>
            <w:tcBorders>
              <w:top w:val="nil"/>
              <w:left w:val="single" w:color="000000" w:sz="4" w:space="0"/>
              <w:right w:val="single" w:color="000000" w:sz="4" w:space="0"/>
            </w:tcBorders>
            <w:noWrap w:val="0"/>
            <w:vAlign w:val="center"/>
          </w:tcPr>
          <w:p w14:paraId="7F53B561">
            <w:pPr>
              <w:keepNext w:val="0"/>
              <w:keepLines w:val="0"/>
              <w:widowControl/>
              <w:suppressLineNumbers w:val="0"/>
              <w:jc w:val="left"/>
              <w:textAlignment w:val="center"/>
              <w:rPr>
                <w:rFonts w:hint="default" w:ascii="宋体" w:hAnsi="宋体" w:eastAsia="宋体" w:cs="宋体"/>
                <w:i w:val="0"/>
                <w:iCs w:val="0"/>
                <w:color w:val="auto"/>
                <w:sz w:val="18"/>
                <w:szCs w:val="18"/>
                <w:u w:val="none"/>
                <w:lang w:val="en-US"/>
              </w:rPr>
            </w:pPr>
            <w:r>
              <w:rPr>
                <w:rFonts w:hint="eastAsia" w:ascii="宋体" w:hAnsi="宋体" w:eastAsia="宋体" w:cs="宋体"/>
                <w:i w:val="0"/>
                <w:iCs w:val="0"/>
                <w:color w:val="auto"/>
                <w:sz w:val="18"/>
                <w:szCs w:val="18"/>
                <w:u w:val="none"/>
                <w:lang w:val="en-US" w:eastAsia="zh-CN"/>
              </w:rPr>
              <w:t>公众支持认可度</w:t>
            </w:r>
            <w:r>
              <w:rPr>
                <w:rFonts w:hint="eastAsia" w:ascii="宋体" w:hAnsi="宋体" w:eastAsia="宋体" w:cs="宋体"/>
                <w:i w:val="0"/>
                <w:iCs w:val="0"/>
                <w:color w:val="auto"/>
                <w:kern w:val="0"/>
                <w:sz w:val="18"/>
                <w:szCs w:val="18"/>
                <w:u w:val="none"/>
                <w:lang w:val="en-US" w:eastAsia="zh-CN" w:bidi="ar"/>
              </w:rPr>
              <w:t>按评判等级赋分，分效果非常支持、支持、一般、不支持四个档次，并分别按照该指标对应分值区间100%-90%（含）、90%-80%（含）、80%-60%（含）、60%-0%合理确定分值。</w:t>
            </w:r>
          </w:p>
        </w:tc>
        <w:tc>
          <w:tcPr>
            <w:tcW w:w="804" w:type="dxa"/>
            <w:tcBorders>
              <w:top w:val="single" w:color="000000" w:sz="4" w:space="0"/>
              <w:left w:val="single" w:color="000000" w:sz="4" w:space="0"/>
              <w:right w:val="single" w:color="000000" w:sz="4" w:space="0"/>
            </w:tcBorders>
            <w:noWrap w:val="0"/>
            <w:vAlign w:val="center"/>
          </w:tcPr>
          <w:p w14:paraId="401B449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right w:val="single" w:color="000000" w:sz="4" w:space="0"/>
            </w:tcBorders>
            <w:noWrap/>
            <w:vAlign w:val="center"/>
          </w:tcPr>
          <w:p w14:paraId="5BCA45A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37BC7C3">
            <w:pPr>
              <w:jc w:val="left"/>
              <w:rPr>
                <w:rFonts w:hint="eastAsia" w:ascii="宋体" w:hAnsi="宋体" w:eastAsia="宋体" w:cs="宋体"/>
                <w:b w:val="0"/>
                <w:bCs w:val="0"/>
                <w:i w:val="0"/>
                <w:iCs w:val="0"/>
                <w:color w:val="auto"/>
                <w:sz w:val="18"/>
                <w:szCs w:val="18"/>
                <w:highlight w:val="none"/>
                <w:u w:val="none"/>
              </w:rPr>
            </w:pPr>
          </w:p>
        </w:tc>
      </w:tr>
      <w:tr w14:paraId="00ABD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0" w:type="dxa"/>
            <w:vMerge w:val="continue"/>
            <w:tcBorders>
              <w:top w:val="single" w:color="000000" w:sz="4" w:space="0"/>
              <w:left w:val="single" w:color="000000" w:sz="4" w:space="0"/>
              <w:bottom w:val="single" w:color="000000" w:sz="4" w:space="0"/>
              <w:right w:val="nil"/>
            </w:tcBorders>
            <w:noWrap w:val="0"/>
            <w:vAlign w:val="center"/>
          </w:tcPr>
          <w:p w14:paraId="04F41818">
            <w:pPr>
              <w:jc w:val="center"/>
              <w:rPr>
                <w:rFonts w:hint="eastAsia" w:ascii="宋体" w:hAnsi="宋体" w:eastAsia="宋体" w:cs="宋体"/>
                <w:i w:val="0"/>
                <w:iCs w:val="0"/>
                <w:color w:val="auto"/>
                <w:sz w:val="18"/>
                <w:szCs w:val="18"/>
                <w:u w:val="none"/>
              </w:rPr>
            </w:pP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6321EEA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生态环境成本</w:t>
            </w:r>
          </w:p>
          <w:p w14:paraId="62A99AF7">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99F447A">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自然生态环境负作用</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47AB72D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1F1B625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55135F0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870536C">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p>
        </w:tc>
      </w:tr>
      <w:tr w14:paraId="6790E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80" w:type="dxa"/>
            <w:vMerge w:val="restart"/>
            <w:tcBorders>
              <w:top w:val="single" w:color="000000" w:sz="4" w:space="0"/>
              <w:left w:val="single" w:color="000000" w:sz="4" w:space="0"/>
              <w:bottom w:val="single" w:color="000000" w:sz="4" w:space="0"/>
              <w:right w:val="single" w:color="000000" w:sz="4" w:space="0"/>
            </w:tcBorders>
            <w:noWrap w:val="0"/>
            <w:vAlign w:val="center"/>
          </w:tcPr>
          <w:p w14:paraId="1D90A88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7F20A48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25       分   ︶</w:t>
            </w: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023142C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02A16236">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数量</w:t>
            </w:r>
          </w:p>
          <w:p w14:paraId="380FC7E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336E22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项目数量目标完成情况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57CF987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计算公式：实际完成率=（实际产出数/计划产出数）×100%。</w:t>
            </w:r>
          </w:p>
          <w:p w14:paraId="7D093078">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评分标准：实际完成率小于60%不得分；大于等于60%的按超过的比重赋分，</w:t>
            </w:r>
          </w:p>
          <w:p w14:paraId="4FFED6E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得分=（实际完成率-60%）/（1-60%）×指标分值。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48BD7B2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907800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8.5</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062866F6">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i w:val="0"/>
                <w:iCs w:val="0"/>
                <w:color w:val="auto"/>
                <w:kern w:val="0"/>
                <w:sz w:val="18"/>
                <w:szCs w:val="18"/>
                <w:u w:val="none"/>
                <w:lang w:val="en-US" w:eastAsia="zh-CN" w:bidi="ar"/>
              </w:rPr>
              <w:t>项目仅有路灯数量，没有故障方面数量考核指标体系，其数量完成情况难以准确判定。</w:t>
            </w:r>
          </w:p>
        </w:tc>
      </w:tr>
      <w:tr w14:paraId="64CE9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361B0E">
            <w:pPr>
              <w:jc w:val="center"/>
              <w:rPr>
                <w:rFonts w:hint="eastAsia" w:ascii="宋体" w:hAnsi="宋体" w:eastAsia="宋体" w:cs="宋体"/>
                <w:i w:val="0"/>
                <w:iCs w:val="0"/>
                <w:color w:val="auto"/>
                <w:sz w:val="18"/>
                <w:szCs w:val="18"/>
                <w:u w:val="none"/>
              </w:rPr>
            </w:pP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16CE4EB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206F62E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质量</w:t>
            </w:r>
          </w:p>
          <w:p w14:paraId="5D5F446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10分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562D614E">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项目质量目标完成情况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2041993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考察以下内容，对相关报告提出的质量安全问题发现一处未整改到位或整改不及时的扣1分；现场发现一处质量瑕疵的扣1分；有安全质量方面的投诉的扣6分；</w:t>
            </w:r>
            <w:r>
              <w:rPr>
                <w:rFonts w:hint="eastAsia" w:ascii="宋体" w:hAnsi="宋体" w:cs="宋体"/>
                <w:i w:val="0"/>
                <w:iCs w:val="0"/>
                <w:color w:val="auto"/>
                <w:kern w:val="0"/>
                <w:sz w:val="18"/>
                <w:szCs w:val="18"/>
                <w:u w:val="none"/>
                <w:lang w:val="en-US" w:eastAsia="zh-CN" w:bidi="ar"/>
              </w:rPr>
              <w:t>质量管理</w:t>
            </w:r>
            <w:r>
              <w:rPr>
                <w:rFonts w:hint="eastAsia" w:ascii="宋体" w:hAnsi="宋体" w:eastAsia="宋体" w:cs="宋体"/>
                <w:i w:val="0"/>
                <w:iCs w:val="0"/>
                <w:color w:val="auto"/>
                <w:kern w:val="0"/>
                <w:sz w:val="18"/>
                <w:szCs w:val="18"/>
                <w:u w:val="none"/>
                <w:lang w:val="en-US" w:eastAsia="zh-CN" w:bidi="ar"/>
              </w:rPr>
              <w:t>效果不佳的扣6分。扣完为止。                                                                                    ①项目阶段性验收质量合格情况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②项目（交）竣工验收质量合格情况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③现场查验质量情况</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④</w:t>
            </w:r>
            <w:r>
              <w:rPr>
                <w:rFonts w:hint="eastAsia" w:ascii="宋体" w:hAnsi="宋体" w:cs="宋体"/>
                <w:i w:val="0"/>
                <w:iCs w:val="0"/>
                <w:color w:val="auto"/>
                <w:kern w:val="0"/>
                <w:sz w:val="18"/>
                <w:szCs w:val="18"/>
                <w:u w:val="none"/>
                <w:lang w:val="en-US" w:eastAsia="zh-CN" w:bidi="ar"/>
              </w:rPr>
              <w:t>项目</w:t>
            </w:r>
            <w:r>
              <w:rPr>
                <w:rFonts w:hint="eastAsia" w:ascii="宋体" w:hAnsi="宋体" w:eastAsia="宋体" w:cs="宋体"/>
                <w:i w:val="0"/>
                <w:iCs w:val="0"/>
                <w:color w:val="auto"/>
                <w:kern w:val="0"/>
                <w:sz w:val="18"/>
                <w:szCs w:val="18"/>
                <w:u w:val="none"/>
                <w:lang w:val="en-US" w:eastAsia="zh-CN" w:bidi="ar"/>
              </w:rPr>
              <w:t>完工后</w:t>
            </w:r>
            <w:r>
              <w:rPr>
                <w:rFonts w:hint="eastAsia" w:ascii="宋体" w:hAnsi="宋体" w:cs="宋体"/>
                <w:i w:val="0"/>
                <w:iCs w:val="0"/>
                <w:color w:val="auto"/>
                <w:kern w:val="0"/>
                <w:sz w:val="18"/>
                <w:szCs w:val="18"/>
                <w:u w:val="none"/>
                <w:lang w:val="en-US" w:eastAsia="zh-CN" w:bidi="ar"/>
              </w:rPr>
              <w:t>质量效果</w:t>
            </w:r>
            <w:r>
              <w:rPr>
                <w:rFonts w:hint="eastAsia" w:ascii="宋体" w:hAnsi="宋体" w:eastAsia="宋体" w:cs="宋体"/>
                <w:i w:val="0"/>
                <w:iCs w:val="0"/>
                <w:color w:val="auto"/>
                <w:kern w:val="0"/>
                <w:sz w:val="18"/>
                <w:szCs w:val="18"/>
                <w:u w:val="none"/>
                <w:lang w:val="en-US" w:eastAsia="zh-CN" w:bidi="ar"/>
              </w:rPr>
              <w:t>如何</w:t>
            </w:r>
            <w:r>
              <w:rPr>
                <w:rFonts w:hint="eastAsia" w:ascii="宋体" w:hAnsi="宋体" w:cs="宋体"/>
                <w:i w:val="0"/>
                <w:iCs w:val="0"/>
                <w:color w:val="auto"/>
                <w:kern w:val="0"/>
                <w:sz w:val="18"/>
                <w:szCs w:val="18"/>
                <w:u w:val="none"/>
                <w:lang w:val="en-US" w:eastAsia="zh-CN" w:bidi="ar"/>
              </w:rPr>
              <w:t>；</w:t>
            </w:r>
            <w:r>
              <w:rPr>
                <w:rFonts w:hint="eastAsia" w:ascii="宋体" w:hAnsi="宋体" w:eastAsia="宋体" w:cs="宋体"/>
                <w:i w:val="0"/>
                <w:iCs w:val="0"/>
                <w:color w:val="auto"/>
                <w:kern w:val="0"/>
                <w:sz w:val="18"/>
                <w:szCs w:val="18"/>
                <w:u w:val="none"/>
                <w:lang w:val="en-US" w:eastAsia="zh-CN" w:bidi="ar"/>
              </w:rPr>
              <w:t xml:space="preserve">                                                                                      ⑤是否有质量方面的投诉。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00B2CC4">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797828BE">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8</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63C3239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由于项目绩效目标和计划不明确，医联体还不够成熟，其产出质量方面仍存在一定的不足。</w:t>
            </w:r>
          </w:p>
          <w:p w14:paraId="136DE979">
            <w:pPr>
              <w:keepNext w:val="0"/>
              <w:keepLines w:val="0"/>
              <w:widowControl/>
              <w:suppressLineNumbers w:val="0"/>
              <w:jc w:val="left"/>
              <w:textAlignment w:val="center"/>
              <w:rPr>
                <w:rFonts w:hint="default" w:ascii="宋体" w:hAnsi="宋体" w:eastAsia="宋体" w:cs="宋体"/>
                <w:b w:val="0"/>
                <w:bCs w:val="0"/>
                <w:i w:val="0"/>
                <w:iCs w:val="0"/>
                <w:color w:val="auto"/>
                <w:sz w:val="18"/>
                <w:szCs w:val="18"/>
                <w:highlight w:val="none"/>
                <w:u w:val="none"/>
                <w:lang w:val="en-US" w:eastAsia="zh-CN"/>
              </w:rPr>
            </w:pPr>
          </w:p>
        </w:tc>
      </w:tr>
      <w:tr w14:paraId="1865D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7F9D15">
            <w:pPr>
              <w:jc w:val="center"/>
              <w:rPr>
                <w:rFonts w:hint="eastAsia" w:ascii="宋体" w:hAnsi="宋体" w:eastAsia="宋体" w:cs="宋体"/>
                <w:i w:val="0"/>
                <w:iCs w:val="0"/>
                <w:color w:val="auto"/>
                <w:sz w:val="18"/>
                <w:szCs w:val="18"/>
                <w:u w:val="none"/>
              </w:rPr>
            </w:pPr>
          </w:p>
        </w:tc>
        <w:tc>
          <w:tcPr>
            <w:tcW w:w="839" w:type="dxa"/>
            <w:tcBorders>
              <w:top w:val="nil"/>
              <w:left w:val="single" w:color="000000" w:sz="4" w:space="0"/>
              <w:bottom w:val="single" w:color="000000" w:sz="4" w:space="0"/>
              <w:right w:val="single" w:color="000000" w:sz="4" w:space="0"/>
            </w:tcBorders>
            <w:noWrap w:val="0"/>
            <w:vAlign w:val="center"/>
          </w:tcPr>
          <w:p w14:paraId="21F2766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产出</w:t>
            </w:r>
          </w:p>
          <w:p w14:paraId="601FDC5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时效</w:t>
            </w:r>
          </w:p>
          <w:p w14:paraId="2578122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67" w:type="dxa"/>
            <w:tcBorders>
              <w:top w:val="nil"/>
              <w:left w:val="single" w:color="000000" w:sz="4" w:space="0"/>
              <w:bottom w:val="single" w:color="000000" w:sz="4" w:space="0"/>
              <w:right w:val="single" w:color="000000" w:sz="4" w:space="0"/>
            </w:tcBorders>
            <w:noWrap w:val="0"/>
            <w:vAlign w:val="center"/>
          </w:tcPr>
          <w:p w14:paraId="7E256B6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项目按期</w:t>
            </w:r>
          </w:p>
          <w:p w14:paraId="6BD7F66F">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完成情况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186A725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xml:space="preserve">实现目标得4（含）～5分；部分实现目标得3（含）～4分；实现目标程度较低得0～3分。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BD89C2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0DD56B9">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54C1AE8E">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rPr>
            </w:pPr>
            <w:r>
              <w:rPr>
                <w:rFonts w:hint="eastAsia" w:ascii="宋体" w:hAnsi="宋体" w:eastAsia="宋体" w:cs="宋体"/>
                <w:b w:val="0"/>
                <w:bCs w:val="0"/>
                <w:i w:val="0"/>
                <w:iCs w:val="0"/>
                <w:color w:val="auto"/>
                <w:sz w:val="18"/>
                <w:szCs w:val="18"/>
                <w:highlight w:val="none"/>
                <w:u w:val="none"/>
                <w:lang w:val="en-US" w:eastAsia="zh-CN"/>
              </w:rPr>
              <w:t>相关时效信息不清晰</w:t>
            </w:r>
          </w:p>
        </w:tc>
      </w:tr>
      <w:tr w14:paraId="15117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580" w:type="dxa"/>
            <w:vMerge w:val="restart"/>
            <w:tcBorders>
              <w:top w:val="single" w:color="000000" w:sz="4" w:space="0"/>
              <w:left w:val="single" w:color="000000" w:sz="4" w:space="0"/>
              <w:bottom w:val="nil"/>
              <w:right w:val="single" w:color="000000" w:sz="4" w:space="0"/>
            </w:tcBorders>
            <w:noWrap w:val="0"/>
            <w:vAlign w:val="center"/>
          </w:tcPr>
          <w:p w14:paraId="55AC164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 ︵</w:t>
            </w:r>
          </w:p>
          <w:p w14:paraId="0686C2BB">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35分︶</w:t>
            </w:r>
          </w:p>
        </w:tc>
        <w:tc>
          <w:tcPr>
            <w:tcW w:w="839" w:type="dxa"/>
            <w:tcBorders>
              <w:top w:val="nil"/>
              <w:left w:val="single" w:color="000000" w:sz="4" w:space="0"/>
              <w:bottom w:val="single" w:color="000000" w:sz="4" w:space="0"/>
              <w:right w:val="single" w:color="000000" w:sz="4" w:space="0"/>
            </w:tcBorders>
            <w:noWrap w:val="0"/>
            <w:vAlign w:val="center"/>
          </w:tcPr>
          <w:p w14:paraId="047B9A18">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经济</w:t>
            </w:r>
          </w:p>
          <w:p w14:paraId="747CA38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w:t>
            </w:r>
          </w:p>
          <w:p w14:paraId="5B763D5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5分</w:t>
            </w:r>
          </w:p>
        </w:tc>
        <w:tc>
          <w:tcPr>
            <w:tcW w:w="1367" w:type="dxa"/>
            <w:tcBorders>
              <w:top w:val="nil"/>
              <w:left w:val="single" w:color="000000" w:sz="4" w:space="0"/>
              <w:bottom w:val="single" w:color="000000" w:sz="4" w:space="0"/>
              <w:right w:val="single" w:color="000000" w:sz="4" w:space="0"/>
            </w:tcBorders>
            <w:noWrap w:val="0"/>
            <w:vAlign w:val="center"/>
          </w:tcPr>
          <w:p w14:paraId="7C8C190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控制运行成本，促进区域经济发展作用情况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316C44E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控制运行成本，促进区域经济发展作用情况。                                              因本项目无法量化，按评判等级赋分，分为实现目标、部分实现目标、实现目标程度较低三个档次，并分别按照该指标对应分值区间100%-80%（含）、80%-60%（含）、60%-0%合理确定分值。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D40828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1B0D60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5</w:t>
            </w:r>
          </w:p>
        </w:tc>
        <w:tc>
          <w:tcPr>
            <w:tcW w:w="2753" w:type="dxa"/>
            <w:vMerge w:val="restart"/>
            <w:tcBorders>
              <w:top w:val="single" w:color="000000" w:sz="4" w:space="0"/>
              <w:left w:val="single" w:color="000000" w:sz="4" w:space="0"/>
              <w:bottom w:val="single" w:color="000000" w:sz="4" w:space="0"/>
              <w:right w:val="single" w:color="000000" w:sz="4" w:space="0"/>
            </w:tcBorders>
            <w:noWrap w:val="0"/>
            <w:vAlign w:val="center"/>
          </w:tcPr>
          <w:p w14:paraId="214E9C69">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i w:val="0"/>
                <w:iCs w:val="0"/>
                <w:color w:val="auto"/>
                <w:kern w:val="0"/>
                <w:sz w:val="18"/>
                <w:szCs w:val="18"/>
                <w:u w:val="none"/>
                <w:lang w:val="en-US" w:eastAsia="zh-CN" w:bidi="ar"/>
              </w:rPr>
              <w:t>因群众满意度不高，在一定程度影响了项目社会效益。</w:t>
            </w:r>
          </w:p>
        </w:tc>
      </w:tr>
      <w:tr w14:paraId="3C5FC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64D75E2E">
            <w:pPr>
              <w:jc w:val="center"/>
              <w:rPr>
                <w:rFonts w:hint="eastAsia" w:ascii="宋体" w:hAnsi="宋体" w:eastAsia="宋体" w:cs="宋体"/>
                <w:i w:val="0"/>
                <w:iCs w:val="0"/>
                <w:color w:val="auto"/>
                <w:sz w:val="18"/>
                <w:szCs w:val="18"/>
                <w:u w:val="none"/>
              </w:rPr>
            </w:pPr>
          </w:p>
        </w:tc>
        <w:tc>
          <w:tcPr>
            <w:tcW w:w="839" w:type="dxa"/>
            <w:vMerge w:val="restart"/>
            <w:tcBorders>
              <w:top w:val="single" w:color="000000" w:sz="4" w:space="0"/>
              <w:left w:val="single" w:color="000000" w:sz="4" w:space="0"/>
              <w:bottom w:val="nil"/>
              <w:right w:val="single" w:color="000000" w:sz="4" w:space="0"/>
            </w:tcBorders>
            <w:noWrap w:val="0"/>
            <w:vAlign w:val="center"/>
          </w:tcPr>
          <w:p w14:paraId="526E5625">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社会</w:t>
            </w:r>
          </w:p>
          <w:p w14:paraId="13C9B13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效益</w:t>
            </w:r>
          </w:p>
          <w:p w14:paraId="555332B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9分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7C905E0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提供夜间照明</w:t>
            </w:r>
            <w:r>
              <w:rPr>
                <w:rFonts w:hint="eastAsia" w:ascii="宋体" w:hAnsi="宋体" w:eastAsia="宋体" w:cs="宋体"/>
                <w:i w:val="0"/>
                <w:iCs w:val="0"/>
                <w:color w:val="auto"/>
                <w:kern w:val="0"/>
                <w:sz w:val="18"/>
                <w:szCs w:val="18"/>
                <w:u w:val="none"/>
                <w:lang w:val="en-US" w:eastAsia="zh-CN" w:bidi="ar"/>
              </w:rPr>
              <w:t>的作用，</w:t>
            </w:r>
            <w:r>
              <w:rPr>
                <w:rFonts w:hint="default" w:ascii="宋体" w:hAnsi="宋体" w:eastAsia="宋体" w:cs="宋体"/>
                <w:i w:val="0"/>
                <w:iCs w:val="0"/>
                <w:color w:val="auto"/>
                <w:kern w:val="0"/>
                <w:sz w:val="18"/>
                <w:szCs w:val="18"/>
                <w:u w:val="none"/>
                <w:lang w:val="en-US" w:eastAsia="zh-CN" w:bidi="ar"/>
              </w:rPr>
              <w:t>保障行人和车辆夜间出行的安全</w:t>
            </w:r>
            <w:r>
              <w:rPr>
                <w:rFonts w:hint="eastAsia" w:ascii="宋体" w:hAnsi="宋体" w:eastAsia="宋体" w:cs="宋体"/>
                <w:i w:val="0"/>
                <w:iCs w:val="0"/>
                <w:color w:val="auto"/>
                <w:kern w:val="0"/>
                <w:sz w:val="18"/>
                <w:szCs w:val="18"/>
                <w:u w:val="none"/>
                <w:lang w:val="en-US" w:eastAsia="zh-CN" w:bidi="ar"/>
              </w:rPr>
              <w:t>作用情况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4496D1A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提供夜间照明</w:t>
            </w:r>
            <w:r>
              <w:rPr>
                <w:rFonts w:hint="eastAsia" w:ascii="宋体" w:hAnsi="宋体" w:eastAsia="宋体" w:cs="宋体"/>
                <w:i w:val="0"/>
                <w:iCs w:val="0"/>
                <w:color w:val="auto"/>
                <w:kern w:val="0"/>
                <w:sz w:val="18"/>
                <w:szCs w:val="18"/>
                <w:u w:val="none"/>
                <w:lang w:val="en-US" w:eastAsia="zh-CN" w:bidi="ar"/>
              </w:rPr>
              <w:t>的作用，</w:t>
            </w:r>
            <w:r>
              <w:rPr>
                <w:rFonts w:hint="default" w:ascii="宋体" w:hAnsi="宋体" w:eastAsia="宋体" w:cs="宋体"/>
                <w:i w:val="0"/>
                <w:iCs w:val="0"/>
                <w:color w:val="auto"/>
                <w:kern w:val="0"/>
                <w:sz w:val="18"/>
                <w:szCs w:val="18"/>
                <w:u w:val="none"/>
                <w:lang w:val="en-US" w:eastAsia="zh-CN" w:bidi="ar"/>
              </w:rPr>
              <w:t>保障行人和车辆夜间出行的安全</w:t>
            </w:r>
            <w:r>
              <w:rPr>
                <w:rFonts w:hint="eastAsia" w:ascii="宋体" w:hAnsi="宋体" w:eastAsia="宋体" w:cs="宋体"/>
                <w:i w:val="0"/>
                <w:iCs w:val="0"/>
                <w:color w:val="auto"/>
                <w:kern w:val="0"/>
                <w:sz w:val="18"/>
                <w:szCs w:val="18"/>
                <w:u w:val="none"/>
                <w:lang w:val="en-US" w:eastAsia="zh-CN" w:bidi="ar"/>
              </w:rPr>
              <w:t>作用情况，3分。                                                                       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0A95A99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1BC805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B9163E">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5827E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0DD1E9A5">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nil"/>
              <w:right w:val="single" w:color="000000" w:sz="4" w:space="0"/>
            </w:tcBorders>
            <w:noWrap w:val="0"/>
            <w:vAlign w:val="center"/>
          </w:tcPr>
          <w:p w14:paraId="367371EF">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64AEE3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提高城市的公共安全水平</w:t>
            </w:r>
            <w:r>
              <w:rPr>
                <w:rFonts w:hint="eastAsia" w:ascii="宋体" w:hAnsi="宋体" w:eastAsia="宋体" w:cs="宋体"/>
                <w:i w:val="0"/>
                <w:iCs w:val="0"/>
                <w:color w:val="auto"/>
                <w:kern w:val="0"/>
                <w:sz w:val="18"/>
                <w:szCs w:val="18"/>
                <w:u w:val="none"/>
                <w:lang w:val="en-US" w:eastAsia="zh-CN" w:bidi="ar"/>
              </w:rPr>
              <w:t>作用情况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53695FD5">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提高城市的公共安全水平</w:t>
            </w:r>
            <w:r>
              <w:rPr>
                <w:rFonts w:hint="eastAsia" w:ascii="宋体" w:hAnsi="宋体" w:eastAsia="宋体" w:cs="宋体"/>
                <w:i w:val="0"/>
                <w:iCs w:val="0"/>
                <w:color w:val="auto"/>
                <w:kern w:val="0"/>
                <w:sz w:val="18"/>
                <w:szCs w:val="18"/>
                <w:u w:val="none"/>
                <w:lang w:val="en-US" w:eastAsia="zh-CN" w:bidi="ar"/>
              </w:rPr>
              <w:t>作用情况，3分。</w:t>
            </w:r>
          </w:p>
          <w:p w14:paraId="686952D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033B03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6C7DCB7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FB7C28">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296D5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3BE18C11">
            <w:pPr>
              <w:jc w:val="center"/>
              <w:rPr>
                <w:rFonts w:hint="eastAsia" w:ascii="宋体" w:hAnsi="宋体" w:eastAsia="宋体" w:cs="宋体"/>
                <w:i w:val="0"/>
                <w:iCs w:val="0"/>
                <w:color w:val="auto"/>
                <w:sz w:val="18"/>
                <w:szCs w:val="18"/>
                <w:u w:val="none"/>
              </w:rPr>
            </w:pPr>
          </w:p>
        </w:tc>
        <w:tc>
          <w:tcPr>
            <w:tcW w:w="839" w:type="dxa"/>
            <w:vMerge w:val="continue"/>
            <w:tcBorders>
              <w:top w:val="single" w:color="000000" w:sz="4" w:space="0"/>
              <w:left w:val="single" w:color="000000" w:sz="4" w:space="0"/>
              <w:bottom w:val="nil"/>
              <w:right w:val="single" w:color="000000" w:sz="4" w:space="0"/>
            </w:tcBorders>
            <w:noWrap w:val="0"/>
            <w:vAlign w:val="center"/>
          </w:tcPr>
          <w:p w14:paraId="7681D30D">
            <w:pPr>
              <w:jc w:val="center"/>
              <w:rPr>
                <w:rFonts w:hint="eastAsia" w:ascii="宋体" w:hAnsi="宋体" w:eastAsia="宋体" w:cs="宋体"/>
                <w:i w:val="0"/>
                <w:iCs w:val="0"/>
                <w:color w:val="auto"/>
                <w:sz w:val="18"/>
                <w:szCs w:val="18"/>
                <w:u w:val="none"/>
              </w:rPr>
            </w:pP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0686CC7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提升城市的整体形象</w:t>
            </w:r>
            <w:r>
              <w:rPr>
                <w:rFonts w:hint="eastAsia" w:ascii="宋体" w:hAnsi="宋体" w:eastAsia="宋体" w:cs="宋体"/>
                <w:i w:val="0"/>
                <w:iCs w:val="0"/>
                <w:color w:val="auto"/>
                <w:kern w:val="0"/>
                <w:sz w:val="18"/>
                <w:szCs w:val="18"/>
                <w:u w:val="none"/>
                <w:lang w:val="en-US" w:eastAsia="zh-CN" w:bidi="ar"/>
              </w:rPr>
              <w:t>作用情况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3181C2C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default" w:ascii="宋体" w:hAnsi="宋体" w:eastAsia="宋体" w:cs="宋体"/>
                <w:i w:val="0"/>
                <w:iCs w:val="0"/>
                <w:color w:val="auto"/>
                <w:kern w:val="0"/>
                <w:sz w:val="18"/>
                <w:szCs w:val="18"/>
                <w:u w:val="none"/>
                <w:lang w:val="en-US" w:eastAsia="zh-CN" w:bidi="ar"/>
              </w:rPr>
              <w:t>提升城市的整体形象</w:t>
            </w:r>
            <w:r>
              <w:rPr>
                <w:rFonts w:hint="eastAsia" w:ascii="宋体" w:hAnsi="宋体" w:eastAsia="宋体" w:cs="宋体"/>
                <w:i w:val="0"/>
                <w:iCs w:val="0"/>
                <w:color w:val="auto"/>
                <w:kern w:val="0"/>
                <w:sz w:val="18"/>
                <w:szCs w:val="18"/>
                <w:u w:val="none"/>
                <w:lang w:val="en-US" w:eastAsia="zh-CN" w:bidi="ar"/>
              </w:rPr>
              <w:t>作用情况，</w:t>
            </w:r>
            <w:r>
              <w:rPr>
                <w:rFonts w:hint="eastAsia" w:ascii="宋体" w:hAnsi="宋体" w:cs="宋体"/>
                <w:i w:val="0"/>
                <w:iCs w:val="0"/>
                <w:color w:val="auto"/>
                <w:kern w:val="0"/>
                <w:sz w:val="18"/>
                <w:szCs w:val="18"/>
                <w:u w:val="none"/>
                <w:lang w:val="en-US" w:eastAsia="zh-CN" w:bidi="ar"/>
              </w:rPr>
              <w:t>3</w:t>
            </w:r>
            <w:r>
              <w:rPr>
                <w:rFonts w:hint="eastAsia" w:ascii="宋体" w:hAnsi="宋体" w:eastAsia="宋体" w:cs="宋体"/>
                <w:i w:val="0"/>
                <w:iCs w:val="0"/>
                <w:color w:val="auto"/>
                <w:kern w:val="0"/>
                <w:sz w:val="18"/>
                <w:szCs w:val="18"/>
                <w:u w:val="none"/>
                <w:lang w:val="en-US" w:eastAsia="zh-CN" w:bidi="ar"/>
              </w:rPr>
              <w:t>分。                                                                         注：按评判等级赋分，分效果非常显著、显著、一般三个档次，并分别按照该指标对应分值区间100%-80%（含）、80%-60%（含）、60%-0%合理确定分值。</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3AFA1572">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0D77E9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2.7</w:t>
            </w:r>
          </w:p>
        </w:tc>
        <w:tc>
          <w:tcPr>
            <w:tcW w:w="275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C0F95C">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2B07D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8"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0FFD8EB2">
            <w:pPr>
              <w:jc w:val="center"/>
              <w:rPr>
                <w:rFonts w:hint="eastAsia" w:ascii="宋体" w:hAnsi="宋体" w:eastAsia="宋体" w:cs="宋体"/>
                <w:i w:val="0"/>
                <w:iCs w:val="0"/>
                <w:color w:val="auto"/>
                <w:sz w:val="18"/>
                <w:szCs w:val="18"/>
                <w:u w:val="none"/>
              </w:rPr>
            </w:pP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5EA535D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生态效益（4分）</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1D74CA4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生态效益情况</w:t>
            </w: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295CB1B2">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项目生态环境保护情况。</w:t>
            </w:r>
          </w:p>
          <w:p w14:paraId="23707939">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 xml:space="preserve">因本项目无法量化，按评判等级赋分，分为基本达成目标、部分实现目标、实现目标程度较低三个档次，并分别按照该指标对应分值区间100%-80%（含）、80%-60%（含）、60%-0%合理确定分值。 </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0619257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4AF1FA9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3CCB513D">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p>
        </w:tc>
      </w:tr>
      <w:tr w14:paraId="07337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247D8198">
            <w:pPr>
              <w:jc w:val="center"/>
              <w:rPr>
                <w:rFonts w:hint="eastAsia" w:ascii="宋体" w:hAnsi="宋体" w:eastAsia="宋体" w:cs="宋体"/>
                <w:i w:val="0"/>
                <w:iCs w:val="0"/>
                <w:color w:val="auto"/>
                <w:sz w:val="18"/>
                <w:szCs w:val="18"/>
                <w:u w:val="none"/>
              </w:rPr>
            </w:pP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07FC6A2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可持续影响（4分）</w:t>
            </w:r>
          </w:p>
        </w:tc>
        <w:tc>
          <w:tcPr>
            <w:tcW w:w="1367" w:type="dxa"/>
            <w:tcBorders>
              <w:top w:val="single" w:color="000000" w:sz="4" w:space="0"/>
              <w:left w:val="single" w:color="000000" w:sz="4" w:space="0"/>
              <w:right w:val="single" w:color="000000" w:sz="4" w:space="0"/>
            </w:tcBorders>
            <w:noWrap w:val="0"/>
            <w:vAlign w:val="center"/>
          </w:tcPr>
          <w:p w14:paraId="552B1BBA">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项目长效运管及可持续发展情况</w:t>
            </w:r>
          </w:p>
        </w:tc>
        <w:tc>
          <w:tcPr>
            <w:tcW w:w="7042" w:type="dxa"/>
            <w:tcBorders>
              <w:top w:val="single" w:color="000000" w:sz="4" w:space="0"/>
              <w:left w:val="single" w:color="000000" w:sz="4" w:space="0"/>
              <w:right w:val="single" w:color="000000" w:sz="4" w:space="0"/>
            </w:tcBorders>
            <w:noWrap w:val="0"/>
            <w:vAlign w:val="center"/>
          </w:tcPr>
          <w:p w14:paraId="38AD8773">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804" w:type="dxa"/>
            <w:tcBorders>
              <w:top w:val="single" w:color="000000" w:sz="4" w:space="0"/>
              <w:left w:val="single" w:color="000000" w:sz="4" w:space="0"/>
              <w:right w:val="single" w:color="000000" w:sz="4" w:space="0"/>
            </w:tcBorders>
            <w:noWrap w:val="0"/>
            <w:vAlign w:val="center"/>
          </w:tcPr>
          <w:p w14:paraId="5C698729">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4</w:t>
            </w:r>
          </w:p>
        </w:tc>
        <w:tc>
          <w:tcPr>
            <w:tcW w:w="825" w:type="dxa"/>
            <w:tcBorders>
              <w:top w:val="single" w:color="000000" w:sz="4" w:space="0"/>
              <w:left w:val="single" w:color="000000" w:sz="4" w:space="0"/>
              <w:right w:val="single" w:color="000000" w:sz="4" w:space="0"/>
            </w:tcBorders>
            <w:noWrap w:val="0"/>
            <w:vAlign w:val="center"/>
          </w:tcPr>
          <w:p w14:paraId="5A4E5A17">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3.6</w:t>
            </w:r>
          </w:p>
        </w:tc>
        <w:tc>
          <w:tcPr>
            <w:tcW w:w="2753" w:type="dxa"/>
            <w:tcBorders>
              <w:top w:val="single" w:color="000000" w:sz="4" w:space="0"/>
              <w:left w:val="single" w:color="000000" w:sz="4" w:space="0"/>
              <w:bottom w:val="single" w:color="auto" w:sz="4" w:space="0"/>
              <w:right w:val="single" w:color="000000" w:sz="4" w:space="0"/>
            </w:tcBorders>
            <w:noWrap w:val="0"/>
            <w:vAlign w:val="center"/>
          </w:tcPr>
          <w:p w14:paraId="3C984A7B">
            <w:pPr>
              <w:keepNext w:val="0"/>
              <w:keepLines w:val="0"/>
              <w:widowControl/>
              <w:suppressLineNumbers w:val="0"/>
              <w:jc w:val="left"/>
              <w:textAlignment w:val="center"/>
              <w:rPr>
                <w:rFonts w:hint="eastAsia" w:ascii="宋体" w:hAnsi="宋体" w:eastAsia="宋体" w:cs="宋体"/>
                <w:b w:val="0"/>
                <w:bCs w:val="0"/>
                <w:i w:val="0"/>
                <w:iCs w:val="0"/>
                <w:color w:val="auto"/>
                <w:sz w:val="18"/>
                <w:szCs w:val="18"/>
                <w:highlight w:val="none"/>
                <w:u w:val="none"/>
                <w:lang w:val="en-US" w:eastAsia="zh-CN"/>
              </w:rPr>
            </w:pPr>
            <w:r>
              <w:rPr>
                <w:rFonts w:hint="eastAsia" w:ascii="宋体" w:hAnsi="宋体" w:eastAsia="宋体" w:cs="宋体"/>
                <w:i w:val="0"/>
                <w:iCs w:val="0"/>
                <w:color w:val="auto"/>
                <w:kern w:val="0"/>
                <w:sz w:val="18"/>
                <w:szCs w:val="18"/>
                <w:u w:val="none"/>
                <w:lang w:val="en-US" w:eastAsia="zh-CN" w:bidi="ar"/>
              </w:rPr>
              <w:t>由于考核指标肢体不够健全，在一定程度影响了项目可持续发展</w:t>
            </w:r>
          </w:p>
        </w:tc>
      </w:tr>
      <w:tr w14:paraId="3AB03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02FE3968">
            <w:pPr>
              <w:jc w:val="center"/>
              <w:rPr>
                <w:rFonts w:hint="eastAsia" w:ascii="宋体" w:hAnsi="宋体" w:eastAsia="宋体" w:cs="宋体"/>
                <w:i w:val="0"/>
                <w:iCs w:val="0"/>
                <w:color w:val="auto"/>
                <w:sz w:val="18"/>
                <w:szCs w:val="18"/>
                <w:u w:val="none"/>
              </w:rPr>
            </w:pPr>
          </w:p>
        </w:tc>
        <w:tc>
          <w:tcPr>
            <w:tcW w:w="839" w:type="dxa"/>
            <w:tcBorders>
              <w:top w:val="single" w:color="auto" w:sz="4" w:space="0"/>
              <w:left w:val="single" w:color="000000" w:sz="4" w:space="0"/>
              <w:bottom w:val="single" w:color="000000" w:sz="4" w:space="0"/>
              <w:right w:val="single" w:color="000000" w:sz="4" w:space="0"/>
            </w:tcBorders>
            <w:noWrap w:val="0"/>
            <w:vAlign w:val="center"/>
          </w:tcPr>
          <w:p w14:paraId="495A7B8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受表彰情况</w:t>
            </w:r>
          </w:p>
          <w:p w14:paraId="1F02A1E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（3分）</w:t>
            </w:r>
          </w:p>
        </w:tc>
        <w:tc>
          <w:tcPr>
            <w:tcW w:w="1367" w:type="dxa"/>
            <w:tcBorders>
              <w:top w:val="single" w:color="auto" w:sz="4" w:space="0"/>
              <w:left w:val="single" w:color="000000" w:sz="4" w:space="0"/>
              <w:bottom w:val="single" w:color="000000" w:sz="4" w:space="0"/>
              <w:right w:val="single" w:color="000000" w:sz="4" w:space="0"/>
            </w:tcBorders>
            <w:noWrap w:val="0"/>
            <w:vAlign w:val="center"/>
          </w:tcPr>
          <w:p w14:paraId="22D5DBA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是否受到上级表彰</w:t>
            </w:r>
          </w:p>
        </w:tc>
        <w:tc>
          <w:tcPr>
            <w:tcW w:w="7042" w:type="dxa"/>
            <w:tcBorders>
              <w:top w:val="single" w:color="auto" w:sz="4" w:space="0"/>
              <w:left w:val="single" w:color="000000" w:sz="4" w:space="0"/>
              <w:bottom w:val="single" w:color="000000" w:sz="4" w:space="0"/>
              <w:right w:val="single" w:color="000000" w:sz="4" w:space="0"/>
            </w:tcBorders>
            <w:noWrap w:val="0"/>
            <w:vAlign w:val="center"/>
          </w:tcPr>
          <w:p w14:paraId="66CBF46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①项目相关工作受到国家级表彰奖励得3分；</w:t>
            </w:r>
          </w:p>
          <w:p w14:paraId="22BC3FF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②项目相关工作受到省级表彰奖励得2分；</w:t>
            </w:r>
          </w:p>
          <w:p w14:paraId="3747E61C">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③项目相关工作受到市级表彰奖励得1分；</w:t>
            </w:r>
          </w:p>
          <w:p w14:paraId="722929A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④未受到表彰奖励不得分。</w:t>
            </w:r>
          </w:p>
        </w:tc>
        <w:tc>
          <w:tcPr>
            <w:tcW w:w="804" w:type="dxa"/>
            <w:tcBorders>
              <w:top w:val="single" w:color="auto" w:sz="4" w:space="0"/>
              <w:left w:val="single" w:color="000000" w:sz="4" w:space="0"/>
              <w:bottom w:val="single" w:color="000000" w:sz="4" w:space="0"/>
              <w:right w:val="single" w:color="000000" w:sz="4" w:space="0"/>
            </w:tcBorders>
            <w:noWrap w:val="0"/>
            <w:vAlign w:val="center"/>
          </w:tcPr>
          <w:p w14:paraId="0AEC5C94">
            <w:pPr>
              <w:keepNext w:val="0"/>
              <w:keepLines w:val="0"/>
              <w:widowControl/>
              <w:suppressLineNumbers w:val="0"/>
              <w:jc w:val="center"/>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825" w:type="dxa"/>
            <w:tcBorders>
              <w:top w:val="single" w:color="auto" w:sz="4" w:space="0"/>
              <w:left w:val="single" w:color="000000" w:sz="4" w:space="0"/>
              <w:bottom w:val="single" w:color="000000" w:sz="4" w:space="0"/>
              <w:right w:val="single" w:color="000000" w:sz="4" w:space="0"/>
            </w:tcBorders>
            <w:noWrap w:val="0"/>
            <w:vAlign w:val="center"/>
          </w:tcPr>
          <w:p w14:paraId="66F2EC0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0</w:t>
            </w:r>
          </w:p>
        </w:tc>
        <w:tc>
          <w:tcPr>
            <w:tcW w:w="2753" w:type="dxa"/>
            <w:tcBorders>
              <w:top w:val="single" w:color="auto" w:sz="4" w:space="0"/>
              <w:left w:val="single" w:color="000000" w:sz="4" w:space="0"/>
              <w:bottom w:val="single" w:color="000000" w:sz="4" w:space="0"/>
              <w:right w:val="single" w:color="000000" w:sz="4" w:space="0"/>
            </w:tcBorders>
            <w:noWrap w:val="0"/>
            <w:vAlign w:val="center"/>
          </w:tcPr>
          <w:p w14:paraId="7399E28B">
            <w:pPr>
              <w:keepNext w:val="0"/>
              <w:keepLines w:val="0"/>
              <w:widowControl/>
              <w:suppressLineNumbers w:val="0"/>
              <w:jc w:val="left"/>
              <w:textAlignment w:val="center"/>
              <w:rPr>
                <w:rFonts w:hint="default" w:ascii="宋体" w:hAnsi="宋体" w:eastAsia="宋体" w:cs="宋体"/>
                <w:b w:val="0"/>
                <w:bCs w:val="0"/>
                <w:i w:val="0"/>
                <w:iCs w:val="0"/>
                <w:color w:val="auto"/>
                <w:kern w:val="0"/>
                <w:sz w:val="18"/>
                <w:szCs w:val="18"/>
                <w:highlight w:val="none"/>
                <w:u w:val="none"/>
                <w:lang w:val="en-US" w:eastAsia="zh-CN" w:bidi="ar"/>
              </w:rPr>
            </w:pPr>
            <w:r>
              <w:rPr>
                <w:rFonts w:hint="eastAsia" w:ascii="宋体" w:hAnsi="宋体" w:cs="宋体"/>
                <w:b w:val="0"/>
                <w:bCs w:val="0"/>
                <w:i w:val="0"/>
                <w:iCs w:val="0"/>
                <w:color w:val="auto"/>
                <w:kern w:val="0"/>
                <w:sz w:val="18"/>
                <w:szCs w:val="18"/>
                <w:highlight w:val="none"/>
                <w:u w:val="none"/>
                <w:lang w:val="en-US" w:eastAsia="zh-CN" w:bidi="ar"/>
              </w:rPr>
              <w:t>相关工作未受到市级以上表彰奖励</w:t>
            </w:r>
          </w:p>
        </w:tc>
      </w:tr>
      <w:tr w14:paraId="70D38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580" w:type="dxa"/>
            <w:vMerge w:val="continue"/>
            <w:tcBorders>
              <w:top w:val="single" w:color="000000" w:sz="4" w:space="0"/>
              <w:left w:val="single" w:color="000000" w:sz="4" w:space="0"/>
              <w:bottom w:val="nil"/>
              <w:right w:val="single" w:color="000000" w:sz="4" w:space="0"/>
            </w:tcBorders>
            <w:noWrap w:val="0"/>
            <w:vAlign w:val="center"/>
          </w:tcPr>
          <w:p w14:paraId="071E417C">
            <w:pPr>
              <w:jc w:val="center"/>
              <w:rPr>
                <w:rFonts w:hint="eastAsia" w:ascii="宋体" w:hAnsi="宋体" w:eastAsia="宋体" w:cs="宋体"/>
                <w:i w:val="0"/>
                <w:iCs w:val="0"/>
                <w:color w:val="auto"/>
                <w:sz w:val="18"/>
                <w:szCs w:val="18"/>
                <w:u w:val="none"/>
              </w:rPr>
            </w:pPr>
          </w:p>
        </w:tc>
        <w:tc>
          <w:tcPr>
            <w:tcW w:w="839" w:type="dxa"/>
            <w:tcBorders>
              <w:top w:val="single" w:color="000000" w:sz="4" w:space="0"/>
              <w:left w:val="single" w:color="000000" w:sz="4" w:space="0"/>
              <w:bottom w:val="nil"/>
              <w:right w:val="single" w:color="000000" w:sz="4" w:space="0"/>
            </w:tcBorders>
            <w:noWrap w:val="0"/>
            <w:vAlign w:val="center"/>
          </w:tcPr>
          <w:p w14:paraId="71BBA2A2">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社会公众满意度</w:t>
            </w:r>
          </w:p>
          <w:p w14:paraId="183EB334">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10分</w:t>
            </w:r>
          </w:p>
        </w:tc>
        <w:tc>
          <w:tcPr>
            <w:tcW w:w="1367" w:type="dxa"/>
            <w:tcBorders>
              <w:top w:val="single" w:color="000000" w:sz="4" w:space="0"/>
              <w:left w:val="single" w:color="000000" w:sz="4" w:space="0"/>
              <w:bottom w:val="nil"/>
              <w:right w:val="single" w:color="000000" w:sz="4" w:space="0"/>
            </w:tcBorders>
            <w:noWrap w:val="0"/>
            <w:vAlign w:val="center"/>
          </w:tcPr>
          <w:p w14:paraId="5B675EA8">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社会公众                   满意度</w:t>
            </w:r>
          </w:p>
          <w:p w14:paraId="0227C217">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10分</w:t>
            </w:r>
          </w:p>
        </w:tc>
        <w:tc>
          <w:tcPr>
            <w:tcW w:w="7042" w:type="dxa"/>
            <w:tcBorders>
              <w:top w:val="single" w:color="000000" w:sz="4" w:space="0"/>
              <w:left w:val="single" w:color="000000" w:sz="4" w:space="0"/>
              <w:bottom w:val="nil"/>
              <w:right w:val="single" w:color="000000" w:sz="4" w:space="0"/>
            </w:tcBorders>
            <w:noWrap w:val="0"/>
            <w:vAlign w:val="center"/>
          </w:tcPr>
          <w:p w14:paraId="3D371A89">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社会公众满意度，10分                                                                                                  注：根据对社会公众满意度调查问卷赋分，得分=社会公众满意率×指标分值</w:t>
            </w:r>
          </w:p>
        </w:tc>
        <w:tc>
          <w:tcPr>
            <w:tcW w:w="804" w:type="dxa"/>
            <w:tcBorders>
              <w:top w:val="single" w:color="000000" w:sz="4" w:space="0"/>
              <w:left w:val="single" w:color="000000" w:sz="4" w:space="0"/>
              <w:bottom w:val="nil"/>
              <w:right w:val="single" w:color="000000" w:sz="4" w:space="0"/>
            </w:tcBorders>
            <w:noWrap w:val="0"/>
            <w:vAlign w:val="center"/>
          </w:tcPr>
          <w:p w14:paraId="69258FA3">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10</w:t>
            </w:r>
          </w:p>
        </w:tc>
        <w:tc>
          <w:tcPr>
            <w:tcW w:w="825" w:type="dxa"/>
            <w:tcBorders>
              <w:top w:val="single" w:color="000000" w:sz="4" w:space="0"/>
              <w:left w:val="single" w:color="000000" w:sz="4" w:space="0"/>
              <w:bottom w:val="nil"/>
              <w:right w:val="single" w:color="000000" w:sz="4" w:space="0"/>
            </w:tcBorders>
            <w:noWrap/>
            <w:vAlign w:val="center"/>
          </w:tcPr>
          <w:p w14:paraId="176FA224">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9.3</w:t>
            </w:r>
          </w:p>
        </w:tc>
        <w:tc>
          <w:tcPr>
            <w:tcW w:w="2753" w:type="dxa"/>
            <w:tcBorders>
              <w:top w:val="single" w:color="000000" w:sz="4" w:space="0"/>
              <w:left w:val="single" w:color="000000" w:sz="4" w:space="0"/>
              <w:bottom w:val="nil"/>
              <w:right w:val="single" w:color="000000" w:sz="4" w:space="0"/>
            </w:tcBorders>
            <w:noWrap w:val="0"/>
            <w:vAlign w:val="center"/>
          </w:tcPr>
          <w:p w14:paraId="73149552">
            <w:pPr>
              <w:jc w:val="left"/>
              <w:rPr>
                <w:rFonts w:hint="default" w:ascii="宋体" w:hAnsi="宋体" w:eastAsia="宋体" w:cs="宋体"/>
                <w:b w:val="0"/>
                <w:bCs w:val="0"/>
                <w:i w:val="0"/>
                <w:iCs w:val="0"/>
                <w:color w:val="auto"/>
                <w:sz w:val="18"/>
                <w:szCs w:val="18"/>
                <w:highlight w:val="none"/>
                <w:u w:val="none"/>
                <w:lang w:val="en-US" w:eastAsia="zh-CN"/>
              </w:rPr>
            </w:pPr>
            <w:r>
              <w:rPr>
                <w:rFonts w:hint="eastAsia" w:ascii="宋体" w:hAnsi="宋体" w:cs="宋体"/>
                <w:b w:val="0"/>
                <w:bCs w:val="0"/>
                <w:i w:val="0"/>
                <w:iCs w:val="0"/>
                <w:color w:val="auto"/>
                <w:sz w:val="18"/>
                <w:szCs w:val="18"/>
                <w:highlight w:val="none"/>
                <w:u w:val="none"/>
                <w:lang w:val="en-US" w:eastAsia="zh-CN"/>
              </w:rPr>
              <w:t>调查问卷综合结果</w:t>
            </w:r>
          </w:p>
        </w:tc>
      </w:tr>
      <w:tr w14:paraId="07E3F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0" w:type="dxa"/>
            <w:tcBorders>
              <w:top w:val="single" w:color="000000" w:sz="4" w:space="0"/>
              <w:left w:val="single" w:color="000000" w:sz="4" w:space="0"/>
              <w:bottom w:val="single" w:color="000000" w:sz="4" w:space="0"/>
              <w:right w:val="single" w:color="000000" w:sz="4" w:space="0"/>
            </w:tcBorders>
            <w:noWrap w:val="0"/>
            <w:vAlign w:val="center"/>
          </w:tcPr>
          <w:p w14:paraId="0299F78A">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总分</w:t>
            </w: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4670359D">
            <w:pPr>
              <w:keepNext w:val="0"/>
              <w:keepLines w:val="0"/>
              <w:widowControl/>
              <w:suppressLineNumbers w:val="0"/>
              <w:jc w:val="center"/>
              <w:textAlignment w:val="center"/>
              <w:rPr>
                <w:rFonts w:hint="eastAsia" w:ascii="宋体" w:hAnsi="宋体" w:eastAsia="宋体" w:cs="宋体"/>
                <w:b/>
                <w:bCs/>
                <w:i w:val="0"/>
                <w:iCs w:val="0"/>
                <w:color w:val="auto"/>
                <w:sz w:val="18"/>
                <w:szCs w:val="18"/>
                <w:u w:val="none"/>
              </w:rPr>
            </w:pPr>
            <w:r>
              <w:rPr>
                <w:rFonts w:hint="eastAsia" w:ascii="宋体" w:hAnsi="宋体" w:eastAsia="宋体" w:cs="宋体"/>
                <w:b/>
                <w:bCs/>
                <w:i w:val="0"/>
                <w:iCs w:val="0"/>
                <w:color w:val="auto"/>
                <w:kern w:val="0"/>
                <w:sz w:val="18"/>
                <w:szCs w:val="18"/>
                <w:u w:val="none"/>
                <w:lang w:val="en-US" w:eastAsia="zh-CN" w:bidi="ar"/>
              </w:rPr>
              <w:t>100</w:t>
            </w:r>
          </w:p>
        </w:tc>
        <w:tc>
          <w:tcPr>
            <w:tcW w:w="1367" w:type="dxa"/>
            <w:tcBorders>
              <w:top w:val="single" w:color="000000" w:sz="4" w:space="0"/>
              <w:left w:val="single" w:color="000000" w:sz="4" w:space="0"/>
              <w:bottom w:val="single" w:color="000000" w:sz="4" w:space="0"/>
              <w:right w:val="single" w:color="000000" w:sz="4" w:space="0"/>
            </w:tcBorders>
            <w:noWrap w:val="0"/>
            <w:vAlign w:val="center"/>
          </w:tcPr>
          <w:p w14:paraId="305D1816">
            <w:pPr>
              <w:jc w:val="center"/>
              <w:rPr>
                <w:rFonts w:hint="eastAsia" w:ascii="宋体" w:hAnsi="宋体" w:eastAsia="宋体" w:cs="宋体"/>
                <w:b/>
                <w:bCs/>
                <w:i w:val="0"/>
                <w:iCs w:val="0"/>
                <w:color w:val="auto"/>
                <w:sz w:val="18"/>
                <w:szCs w:val="18"/>
                <w:u w:val="none"/>
              </w:rPr>
            </w:pPr>
          </w:p>
        </w:tc>
        <w:tc>
          <w:tcPr>
            <w:tcW w:w="7042" w:type="dxa"/>
            <w:tcBorders>
              <w:top w:val="single" w:color="000000" w:sz="4" w:space="0"/>
              <w:left w:val="single" w:color="000000" w:sz="4" w:space="0"/>
              <w:bottom w:val="single" w:color="000000" w:sz="4" w:space="0"/>
              <w:right w:val="single" w:color="000000" w:sz="4" w:space="0"/>
            </w:tcBorders>
            <w:noWrap w:val="0"/>
            <w:vAlign w:val="center"/>
          </w:tcPr>
          <w:p w14:paraId="53297224">
            <w:pPr>
              <w:jc w:val="both"/>
              <w:rPr>
                <w:rFonts w:hint="eastAsia" w:ascii="宋体" w:hAnsi="宋体" w:eastAsia="宋体" w:cs="宋体"/>
                <w:b/>
                <w:bCs/>
                <w:i w:val="0"/>
                <w:iCs w:val="0"/>
                <w:color w:val="auto"/>
                <w:sz w:val="18"/>
                <w:szCs w:val="18"/>
                <w:u w:val="none"/>
              </w:rPr>
            </w:pP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2D719C0B">
            <w:pPr>
              <w:keepNext w:val="0"/>
              <w:keepLines w:val="0"/>
              <w:widowControl/>
              <w:suppressLineNumbers w:val="0"/>
              <w:jc w:val="center"/>
              <w:textAlignment w:val="center"/>
              <w:rPr>
                <w:rFonts w:hint="eastAsia"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fldChar w:fldCharType="begin"/>
            </w:r>
            <w:r>
              <w:rPr>
                <w:rFonts w:hint="eastAsia" w:ascii="宋体" w:hAnsi="宋体" w:eastAsia="宋体" w:cs="宋体"/>
                <w:b/>
                <w:bCs/>
                <w:i w:val="0"/>
                <w:iCs w:val="0"/>
                <w:color w:val="auto"/>
                <w:kern w:val="0"/>
                <w:sz w:val="18"/>
                <w:szCs w:val="18"/>
                <w:u w:val="none"/>
                <w:lang w:val="en-US" w:eastAsia="zh-CN" w:bidi="ar"/>
              </w:rPr>
              <w:instrText xml:space="preserve"> = sum(E4:E30) \* MERGEFORMAT </w:instrText>
            </w:r>
            <w:r>
              <w:rPr>
                <w:rFonts w:hint="eastAsia" w:ascii="宋体" w:hAnsi="宋体" w:eastAsia="宋体" w:cs="宋体"/>
                <w:b/>
                <w:bCs/>
                <w:i w:val="0"/>
                <w:iCs w:val="0"/>
                <w:color w:val="auto"/>
                <w:kern w:val="0"/>
                <w:sz w:val="18"/>
                <w:szCs w:val="18"/>
                <w:u w:val="none"/>
                <w:lang w:val="en-US" w:eastAsia="zh-CN" w:bidi="ar"/>
              </w:rPr>
              <w:fldChar w:fldCharType="separate"/>
            </w:r>
            <w:r>
              <w:rPr>
                <w:rFonts w:hint="eastAsia" w:ascii="宋体" w:hAnsi="宋体" w:eastAsia="宋体" w:cs="宋体"/>
                <w:b/>
                <w:bCs/>
                <w:i w:val="0"/>
                <w:iCs w:val="0"/>
                <w:color w:val="auto"/>
                <w:kern w:val="0"/>
                <w:sz w:val="18"/>
                <w:szCs w:val="18"/>
                <w:u w:val="none"/>
                <w:lang w:val="en-US" w:eastAsia="zh-CN" w:bidi="ar"/>
              </w:rPr>
              <w:t>100</w:t>
            </w:r>
            <w:r>
              <w:rPr>
                <w:rFonts w:hint="eastAsia" w:ascii="宋体" w:hAnsi="宋体" w:eastAsia="宋体" w:cs="宋体"/>
                <w:b/>
                <w:bCs/>
                <w:i w:val="0"/>
                <w:iCs w:val="0"/>
                <w:color w:val="auto"/>
                <w:kern w:val="0"/>
                <w:sz w:val="18"/>
                <w:szCs w:val="18"/>
                <w:u w:val="none"/>
                <w:lang w:val="en-US" w:eastAsia="zh-CN" w:bidi="ar"/>
              </w:rPr>
              <w:fldChar w:fldCharType="end"/>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14:paraId="029BB33F">
            <w:pPr>
              <w:keepNext w:val="0"/>
              <w:keepLines w:val="0"/>
              <w:widowControl/>
              <w:suppressLineNumbers w:val="0"/>
              <w:jc w:val="center"/>
              <w:textAlignment w:val="center"/>
              <w:rPr>
                <w:rFonts w:hint="default" w:ascii="宋体" w:hAnsi="宋体" w:eastAsia="宋体" w:cs="宋体"/>
                <w:b/>
                <w:bCs/>
                <w:i w:val="0"/>
                <w:iCs w:val="0"/>
                <w:color w:val="auto"/>
                <w:kern w:val="0"/>
                <w:sz w:val="18"/>
                <w:szCs w:val="18"/>
                <w:u w:val="none"/>
                <w:lang w:val="en-US" w:eastAsia="zh-CN" w:bidi="ar"/>
              </w:rPr>
            </w:pPr>
            <w:r>
              <w:rPr>
                <w:rFonts w:hint="eastAsia" w:ascii="宋体" w:hAnsi="宋体" w:eastAsia="宋体" w:cs="宋体"/>
                <w:b/>
                <w:bCs/>
                <w:i w:val="0"/>
                <w:iCs w:val="0"/>
                <w:color w:val="auto"/>
                <w:kern w:val="0"/>
                <w:sz w:val="18"/>
                <w:szCs w:val="18"/>
                <w:u w:val="none"/>
                <w:lang w:val="en-US" w:eastAsia="zh-CN" w:bidi="ar"/>
              </w:rPr>
              <w:t>86.9</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A15C978">
            <w:pPr>
              <w:jc w:val="left"/>
              <w:rPr>
                <w:rFonts w:hint="eastAsia" w:ascii="宋体" w:hAnsi="宋体" w:eastAsia="宋体" w:cs="宋体"/>
                <w:b/>
                <w:bCs/>
                <w:i w:val="0"/>
                <w:iCs w:val="0"/>
                <w:color w:val="auto"/>
                <w:sz w:val="18"/>
                <w:szCs w:val="18"/>
                <w:u w:val="none"/>
              </w:rPr>
            </w:pPr>
          </w:p>
        </w:tc>
      </w:tr>
      <w:bookmarkEnd w:id="0"/>
    </w:tbl>
    <w:p w14:paraId="29B3F577">
      <w:pPr>
        <w:outlineLvl w:val="0"/>
        <w:rPr>
          <w:color w:val="auto"/>
        </w:rPr>
      </w:pPr>
    </w:p>
    <w:sectPr>
      <w:footerReference r:id="rId9" w:type="default"/>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opperplate Gothic Bold">
    <w:panose1 w:val="020E0705020206020404"/>
    <w:charset w:val="00"/>
    <w:family w:val="swiss"/>
    <w:pitch w:val="default"/>
    <w:sig w:usb0="00000003" w:usb1="00000000" w:usb2="00000000" w:usb3="00000000" w:csb0="20000001"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KSOF4B1AA1F4">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B5B56">
    <w:pPr>
      <w:pStyle w:val="10"/>
      <w:rPr>
        <w:rFonts w:hint="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798D1">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9798D1">
                    <w:pPr>
                      <w:pStyle w:val="10"/>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1F685">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D0E1B5">
                          <w:pPr>
                            <w:pStyle w:val="10"/>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7D0E1B5">
                    <w:pPr>
                      <w:pStyle w:val="10"/>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3CD4D">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BCAEB">
    <w:pPr>
      <w:pStyle w:val="11"/>
      <w:pBdr>
        <w:bottom w:val="single" w:color="auto" w:sz="4" w:space="1"/>
      </w:pBdr>
      <w:jc w:val="both"/>
      <w:rPr>
        <w:rFonts w:hint="eastAsia" w:ascii="仿宋" w:hAnsi="仿宋" w:eastAsia="仿宋" w:cs="仿宋"/>
        <w:sz w:val="22"/>
        <w:szCs w:val="22"/>
      </w:rPr>
    </w:pPr>
    <w:r>
      <w:rPr>
        <w:rFonts w:hint="eastAsia" w:ascii="仿宋" w:hAnsi="仿宋" w:eastAsia="仿宋" w:cs="仿宋"/>
        <w:sz w:val="22"/>
        <w:szCs w:val="22"/>
        <w:lang w:eastAsia="zh-CN"/>
      </w:rPr>
      <w:t xml:space="preserve">  扶风县高层次医疗人才引进资金项目</w:t>
    </w:r>
    <w:r>
      <w:rPr>
        <w:rFonts w:hint="eastAsia" w:ascii="仿宋" w:hAnsi="仿宋" w:eastAsia="仿宋" w:cs="仿宋"/>
        <w:sz w:val="22"/>
        <w:szCs w:val="22"/>
      </w:rPr>
      <w:t>绩效评价报告</w:t>
    </w:r>
  </w:p>
  <w:p w14:paraId="6D30CFE5">
    <w:pPr>
      <w:pStyle w:val="11"/>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69AC9">
    <w:pPr>
      <w:pStyle w:val="11"/>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088A0">
    <w:pPr>
      <w:pStyle w:val="11"/>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3B876">
    <w:pPr>
      <w:pStyle w:val="11"/>
      <w:pBdr>
        <w:top w:val="none" w:color="auto" w:sz="0" w:space="0"/>
        <w:left w:val="none" w:color="auto" w:sz="0" w:space="0"/>
        <w:bottom w:val="none" w:color="auto" w:sz="0" w:space="1"/>
        <w:right w:val="none" w:color="auto" w:sz="0" w:space="0"/>
        <w:between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YmY0YWQwYjhlNjY2M2JmNWE0N2IxMjFmZWFjZWUifQ=="/>
  </w:docVars>
  <w:rsids>
    <w:rsidRoot w:val="38E37B57"/>
    <w:rsid w:val="00DE4E08"/>
    <w:rsid w:val="01113D6B"/>
    <w:rsid w:val="01CB01B3"/>
    <w:rsid w:val="026A7A48"/>
    <w:rsid w:val="04A74525"/>
    <w:rsid w:val="06A6410E"/>
    <w:rsid w:val="07ED65E2"/>
    <w:rsid w:val="0A914B0F"/>
    <w:rsid w:val="0B3568A8"/>
    <w:rsid w:val="0B9012B4"/>
    <w:rsid w:val="0BBA5318"/>
    <w:rsid w:val="0C086845"/>
    <w:rsid w:val="0C8D3833"/>
    <w:rsid w:val="11F91AF4"/>
    <w:rsid w:val="12930008"/>
    <w:rsid w:val="143771ED"/>
    <w:rsid w:val="18167A61"/>
    <w:rsid w:val="18773C95"/>
    <w:rsid w:val="18B93457"/>
    <w:rsid w:val="190B3B8C"/>
    <w:rsid w:val="19EE1B79"/>
    <w:rsid w:val="1ABC7D7B"/>
    <w:rsid w:val="1E8F7C25"/>
    <w:rsid w:val="1FA47700"/>
    <w:rsid w:val="2011550D"/>
    <w:rsid w:val="20BA367F"/>
    <w:rsid w:val="21026DD4"/>
    <w:rsid w:val="22062E83"/>
    <w:rsid w:val="229A0BC5"/>
    <w:rsid w:val="247A3651"/>
    <w:rsid w:val="251E7B42"/>
    <w:rsid w:val="26CC5BD5"/>
    <w:rsid w:val="2744709E"/>
    <w:rsid w:val="275B16C7"/>
    <w:rsid w:val="27695189"/>
    <w:rsid w:val="27F1008E"/>
    <w:rsid w:val="28447CD2"/>
    <w:rsid w:val="299C5AE8"/>
    <w:rsid w:val="29BA7949"/>
    <w:rsid w:val="2A253C74"/>
    <w:rsid w:val="2AB60BB7"/>
    <w:rsid w:val="2C423E8F"/>
    <w:rsid w:val="2CBB391E"/>
    <w:rsid w:val="2CF14F59"/>
    <w:rsid w:val="2EB65DB1"/>
    <w:rsid w:val="2F692705"/>
    <w:rsid w:val="31D077C5"/>
    <w:rsid w:val="32DB21CB"/>
    <w:rsid w:val="331F4A96"/>
    <w:rsid w:val="332C4476"/>
    <w:rsid w:val="33F50076"/>
    <w:rsid w:val="340605AC"/>
    <w:rsid w:val="3463365C"/>
    <w:rsid w:val="353F5AA9"/>
    <w:rsid w:val="35D02213"/>
    <w:rsid w:val="36E84085"/>
    <w:rsid w:val="38E37B57"/>
    <w:rsid w:val="39FF1C0B"/>
    <w:rsid w:val="3A825CBF"/>
    <w:rsid w:val="3B5B2E39"/>
    <w:rsid w:val="3CFD28A5"/>
    <w:rsid w:val="3D1C525B"/>
    <w:rsid w:val="3EAB0A0B"/>
    <w:rsid w:val="3F6B1FEB"/>
    <w:rsid w:val="3FAE3203"/>
    <w:rsid w:val="3FBD7677"/>
    <w:rsid w:val="40500359"/>
    <w:rsid w:val="416A7316"/>
    <w:rsid w:val="41F52F1F"/>
    <w:rsid w:val="436304C4"/>
    <w:rsid w:val="43AF1927"/>
    <w:rsid w:val="43D830B3"/>
    <w:rsid w:val="44927617"/>
    <w:rsid w:val="45B56CCC"/>
    <w:rsid w:val="483E4851"/>
    <w:rsid w:val="48E3609E"/>
    <w:rsid w:val="49A822A2"/>
    <w:rsid w:val="49DE18DD"/>
    <w:rsid w:val="4A6C7D3D"/>
    <w:rsid w:val="4C752B7D"/>
    <w:rsid w:val="4CD85A47"/>
    <w:rsid w:val="4D1107FD"/>
    <w:rsid w:val="4D861E62"/>
    <w:rsid w:val="4F594553"/>
    <w:rsid w:val="4FCA00D4"/>
    <w:rsid w:val="4FFF664F"/>
    <w:rsid w:val="51BF6FE1"/>
    <w:rsid w:val="52DD3E17"/>
    <w:rsid w:val="53C3735D"/>
    <w:rsid w:val="554634AF"/>
    <w:rsid w:val="55D5684A"/>
    <w:rsid w:val="563B2BBD"/>
    <w:rsid w:val="57AC1891"/>
    <w:rsid w:val="5AE327BC"/>
    <w:rsid w:val="5AFA7D50"/>
    <w:rsid w:val="5D185A85"/>
    <w:rsid w:val="5EBF7821"/>
    <w:rsid w:val="5F8F3B20"/>
    <w:rsid w:val="60033C5A"/>
    <w:rsid w:val="60E01F17"/>
    <w:rsid w:val="63A64809"/>
    <w:rsid w:val="64965C84"/>
    <w:rsid w:val="65231C13"/>
    <w:rsid w:val="6727621A"/>
    <w:rsid w:val="673E77F9"/>
    <w:rsid w:val="67437875"/>
    <w:rsid w:val="68204069"/>
    <w:rsid w:val="689F0CB2"/>
    <w:rsid w:val="690E74AC"/>
    <w:rsid w:val="6BBE5C85"/>
    <w:rsid w:val="6CAF430C"/>
    <w:rsid w:val="70453BB5"/>
    <w:rsid w:val="707F1867"/>
    <w:rsid w:val="71663DE2"/>
    <w:rsid w:val="732145F1"/>
    <w:rsid w:val="75160ED5"/>
    <w:rsid w:val="751C1CFB"/>
    <w:rsid w:val="75305569"/>
    <w:rsid w:val="770727D6"/>
    <w:rsid w:val="773F1FAA"/>
    <w:rsid w:val="77A86B72"/>
    <w:rsid w:val="79C952A7"/>
    <w:rsid w:val="7B0F5208"/>
    <w:rsid w:val="7DCF52A0"/>
    <w:rsid w:val="7FE93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7">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120" w:afterAutospacing="0"/>
      <w:ind w:left="0" w:right="0"/>
      <w:jc w:val="both"/>
    </w:pPr>
    <w:rPr>
      <w:rFonts w:ascii="Calibri" w:hAnsi="Calibri"/>
      <w:kern w:val="2"/>
      <w:sz w:val="21"/>
      <w:szCs w:val="24"/>
    </w:rPr>
  </w:style>
  <w:style w:type="paragraph" w:styleId="3">
    <w:name w:val="Body Text 2"/>
    <w:basedOn w:val="1"/>
    <w:qFormat/>
    <w:uiPriority w:val="99"/>
    <w:rPr>
      <w:rFonts w:ascii="楷体_GB2312" w:hAnsi="Copperplate Gothic Bold" w:eastAsia="楷体_GB2312"/>
      <w:sz w:val="28"/>
    </w:rPr>
  </w:style>
  <w:style w:type="paragraph" w:styleId="8">
    <w:name w:val="annotation text"/>
    <w:basedOn w:val="1"/>
    <w:qFormat/>
    <w:uiPriority w:val="0"/>
    <w:pPr>
      <w:jc w:val="left"/>
    </w:pPr>
  </w:style>
  <w:style w:type="paragraph" w:styleId="9">
    <w:name w:val="Body Text Indent"/>
    <w:basedOn w:val="1"/>
    <w:qFormat/>
    <w:uiPriority w:val="0"/>
    <w:pPr>
      <w:ind w:firstLine="200" w:firstLineChars="200"/>
    </w:pPr>
    <w:rPr>
      <w:sz w:val="28"/>
      <w:szCs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2"/>
    <w:basedOn w:val="1"/>
    <w:next w:val="1"/>
    <w:qFormat/>
    <w:uiPriority w:val="0"/>
    <w:pPr>
      <w:ind w:left="420" w:leftChars="200"/>
    </w:pPr>
  </w:style>
  <w:style w:type="paragraph" w:styleId="13">
    <w:name w:val="Normal (Web)"/>
    <w:basedOn w:val="1"/>
    <w:qFormat/>
    <w:uiPriority w:val="0"/>
    <w:pPr>
      <w:widowControl/>
      <w:spacing w:before="100" w:beforeAutospacing="1" w:after="100" w:afterAutospacing="1"/>
      <w:jc w:val="left"/>
    </w:pPr>
    <w:rPr>
      <w:rFonts w:ascii="宋体" w:eastAsia="宋体" w:cs="宋体"/>
      <w:kern w:val="0"/>
      <w:sz w:val="24"/>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customStyle="1" w:styleId="19">
    <w:name w:val="font41"/>
    <w:basedOn w:val="16"/>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10716</Words>
  <Characters>11394</Characters>
  <Lines>0</Lines>
  <Paragraphs>0</Paragraphs>
  <TotalTime>5</TotalTime>
  <ScaleCrop>false</ScaleCrop>
  <LinksUpToDate>false</LinksUpToDate>
  <CharactersWithSpaces>11481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2025-06-13T08:16:00Z</dcterms:created>
  <dc:creator>海纳百川</dc:creator>
  <cp:lastModifiedBy>＆一笑而过::&gt;_&lt;:</cp:lastModifiedBy>
  <dcterms:modified xsi:type="dcterms:W3CDTF">2025-12-19T06:37:46Z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F6BC32B0B8814FCEBB12DBC09EF64B26_13</vt:lpwstr>
  </property>
  <property fmtid="{D5CDD505-2E9C-101B-9397-08002B2CF9AE}" pid="4" name="KSOTemplateDocerSaveRecord">
    <vt:lpwstr>eyJoZGlkIjoiNGYyZWE5OWUzMGI3ZWUyNjZhYTk0YzRkZDlmMmJlOGQiLCJ1c2VySWQiOiIxMTY2NzU5ODkyIn0=</vt:lpwstr>
  </property>
</Properties>
</file>