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7F7A17">
      <w:pPr>
        <w:jc w:val="both"/>
        <w:rPr>
          <w:rFonts w:hint="default" w:ascii="黑体" w:hAnsi="Times New Roman" w:eastAsia="黑体" w:cs="黑体"/>
          <w:b/>
          <w:sz w:val="21"/>
          <w:szCs w:val="21"/>
          <w:lang w:val="en-US" w:eastAsia="zh-CN"/>
        </w:rPr>
      </w:pPr>
    </w:p>
    <w:p w14:paraId="442E9E6B">
      <w:pPr>
        <w:jc w:val="both"/>
        <w:rPr>
          <w:rFonts w:hint="default" w:ascii="黑体" w:hAnsi="Times New Roman" w:eastAsia="黑体" w:cs="黑体"/>
          <w:b/>
          <w:sz w:val="36"/>
          <w:szCs w:val="36"/>
          <w:lang w:val="en-US" w:eastAsia="zh-CN"/>
        </w:rPr>
      </w:pPr>
    </w:p>
    <w:p w14:paraId="3C1E1A80">
      <w:pPr>
        <w:pStyle w:val="3"/>
        <w:rPr>
          <w:rFonts w:hint="eastAsia"/>
          <w:sz w:val="18"/>
          <w:szCs w:val="18"/>
          <w:lang w:val="en-US" w:eastAsia="zh-CN"/>
        </w:rPr>
      </w:pPr>
    </w:p>
    <w:p w14:paraId="34CDE9CC">
      <w:pPr>
        <w:pStyle w:val="3"/>
        <w:rPr>
          <w:rFonts w:hint="eastAsia"/>
          <w:sz w:val="18"/>
          <w:szCs w:val="18"/>
          <w:lang w:val="en-US" w:eastAsia="zh-CN"/>
        </w:rPr>
      </w:pPr>
    </w:p>
    <w:p w14:paraId="157C30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val="0"/>
          <w:sz w:val="52"/>
          <w:szCs w:val="52"/>
          <w:lang w:val="en-US" w:eastAsia="zh-CN"/>
        </w:rPr>
      </w:pPr>
      <w:r>
        <w:rPr>
          <w:rFonts w:hint="eastAsia" w:ascii="黑体" w:hAnsi="黑体" w:eastAsia="黑体" w:cs="黑体"/>
          <w:b/>
          <w:bCs w:val="0"/>
          <w:sz w:val="52"/>
          <w:szCs w:val="52"/>
          <w:lang w:val="en-US" w:eastAsia="zh-CN"/>
        </w:rPr>
        <w:t>2024年扶风县绛帐镇迎宾路南段</w:t>
      </w:r>
    </w:p>
    <w:p w14:paraId="238D41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val="0"/>
          <w:sz w:val="52"/>
          <w:szCs w:val="52"/>
          <w:lang w:eastAsia="zh-CN"/>
        </w:rPr>
      </w:pPr>
      <w:r>
        <w:rPr>
          <w:rFonts w:hint="eastAsia" w:ascii="黑体" w:hAnsi="黑体" w:eastAsia="黑体" w:cs="黑体"/>
          <w:b/>
          <w:bCs w:val="0"/>
          <w:sz w:val="52"/>
          <w:szCs w:val="52"/>
          <w:lang w:val="en-US" w:eastAsia="zh-CN"/>
        </w:rPr>
        <w:t>排水硬化工程</w:t>
      </w:r>
      <w:r>
        <w:rPr>
          <w:rFonts w:hint="eastAsia" w:ascii="黑体" w:hAnsi="黑体" w:eastAsia="黑体" w:cs="黑体"/>
          <w:b/>
          <w:bCs w:val="0"/>
          <w:sz w:val="52"/>
          <w:szCs w:val="52"/>
          <w:lang w:eastAsia="zh-CN"/>
        </w:rPr>
        <w:t>绩效评价报告</w:t>
      </w:r>
    </w:p>
    <w:p w14:paraId="286BA3BE">
      <w:pPr>
        <w:pStyle w:val="2"/>
        <w:rPr>
          <w:rFonts w:hint="eastAsia"/>
        </w:rPr>
      </w:pPr>
    </w:p>
    <w:p w14:paraId="54B7647C">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lang w:val="en-US" w:eastAsia="zh-CN"/>
        </w:rPr>
      </w:pPr>
      <w:r>
        <w:rPr>
          <w:rFonts w:hint="eastAsia" w:ascii="华文宋体" w:hAnsi="华文宋体"/>
          <w:color w:val="auto"/>
          <w:sz w:val="31"/>
          <w:highlight w:val="none"/>
          <w:shd w:val="clear" w:color="auto" w:fill="FFFFFF"/>
          <w:lang w:val="en-US" w:eastAsia="zh-CN"/>
        </w:rPr>
        <w:t xml:space="preserve"> </w:t>
      </w:r>
    </w:p>
    <w:p w14:paraId="791132BD">
      <w:pPr>
        <w:pStyle w:val="2"/>
        <w:rPr>
          <w:rFonts w:hint="default"/>
          <w:color w:val="auto"/>
          <w:highlight w:val="none"/>
          <w:lang w:val="en-US" w:eastAsia="zh-CN"/>
        </w:rPr>
      </w:pPr>
    </w:p>
    <w:p w14:paraId="4873C214">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045A7E7E">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41A7E1BC">
      <w:pPr>
        <w:spacing w:line="360" w:lineRule="auto"/>
        <w:ind w:firstLine="1285" w:firstLineChars="400"/>
        <w:rPr>
          <w:rFonts w:hint="eastAsia" w:ascii="宋体" w:hAnsi="宋体" w:cs="宋体"/>
          <w:b/>
          <w:bCs/>
          <w:color w:val="auto"/>
          <w:sz w:val="32"/>
          <w:szCs w:val="32"/>
          <w:highlight w:val="none"/>
        </w:rPr>
      </w:pPr>
    </w:p>
    <w:p w14:paraId="469700A7">
      <w:pPr>
        <w:pStyle w:val="2"/>
        <w:rPr>
          <w:rFonts w:hint="eastAsia" w:ascii="宋体" w:hAnsi="宋体" w:cs="宋体"/>
          <w:b/>
          <w:bCs/>
          <w:color w:val="auto"/>
          <w:sz w:val="32"/>
          <w:szCs w:val="32"/>
          <w:highlight w:val="none"/>
        </w:rPr>
      </w:pPr>
    </w:p>
    <w:p w14:paraId="458FFD94">
      <w:pPr>
        <w:pStyle w:val="3"/>
        <w:rPr>
          <w:rFonts w:hint="eastAsia" w:ascii="宋体" w:hAnsi="宋体" w:cs="宋体"/>
          <w:b/>
          <w:bCs/>
          <w:color w:val="auto"/>
          <w:sz w:val="32"/>
          <w:szCs w:val="32"/>
          <w:highlight w:val="none"/>
        </w:rPr>
      </w:pPr>
    </w:p>
    <w:p w14:paraId="0F54AB10">
      <w:pPr>
        <w:pStyle w:val="3"/>
        <w:rPr>
          <w:rFonts w:hint="eastAsia" w:ascii="宋体" w:hAnsi="宋体" w:cs="宋体"/>
          <w:b/>
          <w:bCs/>
          <w:color w:val="auto"/>
          <w:sz w:val="32"/>
          <w:szCs w:val="32"/>
          <w:highlight w:val="none"/>
        </w:rPr>
      </w:pPr>
    </w:p>
    <w:p w14:paraId="4925E58D">
      <w:pPr>
        <w:pStyle w:val="3"/>
        <w:rPr>
          <w:rFonts w:hint="eastAsia" w:ascii="宋体" w:hAnsi="宋体" w:cs="宋体"/>
          <w:b/>
          <w:bCs/>
          <w:color w:val="auto"/>
          <w:sz w:val="32"/>
          <w:szCs w:val="32"/>
          <w:highlight w:val="none"/>
        </w:rPr>
      </w:pPr>
    </w:p>
    <w:p w14:paraId="7206953C">
      <w:pPr>
        <w:pStyle w:val="3"/>
        <w:rPr>
          <w:rFonts w:hint="eastAsia" w:ascii="宋体" w:hAnsi="宋体" w:cs="宋体"/>
          <w:b/>
          <w:bCs/>
          <w:color w:val="auto"/>
          <w:sz w:val="32"/>
          <w:szCs w:val="32"/>
          <w:highlight w:val="none"/>
        </w:rPr>
      </w:pPr>
    </w:p>
    <w:p w14:paraId="6050FAB0">
      <w:pPr>
        <w:spacing w:line="360" w:lineRule="auto"/>
        <w:ind w:firstLine="1285" w:firstLineChars="400"/>
        <w:rPr>
          <w:rFonts w:hint="eastAsia" w:ascii="宋体" w:hAnsi="宋体" w:cs="宋体"/>
          <w:b/>
          <w:bCs/>
          <w:color w:val="auto"/>
          <w:sz w:val="32"/>
          <w:szCs w:val="32"/>
          <w:highlight w:val="none"/>
        </w:rPr>
      </w:pPr>
    </w:p>
    <w:p w14:paraId="335CD9C1">
      <w:pPr>
        <w:spacing w:line="360" w:lineRule="auto"/>
        <w:jc w:val="center"/>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扶风县财政局</w:t>
      </w:r>
    </w:p>
    <w:p w14:paraId="6EEF29E9">
      <w:pPr>
        <w:spacing w:line="360" w:lineRule="auto"/>
        <w:jc w:val="center"/>
        <w:rPr>
          <w:rFonts w:hint="default" w:ascii="宋体" w:hAnsi="宋体" w:eastAsia="宋体" w:cs="宋体"/>
          <w:b/>
          <w:color w:val="000000" w:themeColor="text1"/>
          <w:sz w:val="32"/>
          <w:szCs w:val="32"/>
          <w:highlight w:val="none"/>
          <w:lang w:val="en-US"/>
          <w14:textFill>
            <w14:solidFill>
              <w14:schemeClr w14:val="tx1"/>
            </w14:solidFill>
          </w14:textFill>
        </w:rPr>
        <w:sectPr>
          <w:headerReference r:id="rId4" w:type="first"/>
          <w:headerReference r:id="rId3" w:type="default"/>
          <w:pgSz w:w="11906" w:h="16838"/>
          <w:pgMar w:top="1417" w:right="1531" w:bottom="1417" w:left="1701" w:header="851" w:footer="992" w:gutter="0"/>
          <w:pgBorders>
            <w:top w:val="none" w:sz="0" w:space="0"/>
            <w:left w:val="none" w:sz="0" w:space="0"/>
            <w:bottom w:val="none" w:sz="0" w:space="0"/>
            <w:right w:val="none" w:sz="0" w:space="0"/>
          </w:pgBorders>
          <w:pgNumType w:fmt="decimal"/>
          <w:cols w:space="720" w:num="1"/>
          <w:titlePg/>
          <w:rtlGutter w:val="0"/>
          <w:docGrid w:type="lines" w:linePitch="312" w:charSpace="0"/>
        </w:sectPr>
      </w:pPr>
      <w:r>
        <w:rPr>
          <w:rFonts w:hint="eastAsia" w:ascii="宋体" w:hAnsi="宋体" w:eastAsia="宋体" w:cs="宋体"/>
          <w:b/>
          <w:bCs/>
          <w:color w:val="auto"/>
          <w:sz w:val="32"/>
          <w:szCs w:val="32"/>
          <w:highlight w:val="none"/>
          <w:lang w:val="en-US" w:eastAsia="zh-CN"/>
        </w:rPr>
        <w:t>202</w:t>
      </w:r>
      <w:r>
        <w:rPr>
          <w:rFonts w:hint="eastAsia" w:ascii="宋体" w:hAnsi="宋体" w:cs="宋体"/>
          <w:b/>
          <w:bCs/>
          <w:color w:val="auto"/>
          <w:sz w:val="32"/>
          <w:szCs w:val="32"/>
          <w:highlight w:val="none"/>
          <w:lang w:val="en-US" w:eastAsia="zh-CN"/>
        </w:rPr>
        <w:t>5</w:t>
      </w:r>
      <w:r>
        <w:rPr>
          <w:rFonts w:hint="eastAsia" w:ascii="宋体" w:hAnsi="宋体" w:eastAsia="宋体" w:cs="宋体"/>
          <w:b/>
          <w:bCs/>
          <w:color w:val="auto"/>
          <w:sz w:val="32"/>
          <w:szCs w:val="32"/>
          <w:highlight w:val="none"/>
          <w:lang w:val="en-US" w:eastAsia="zh-CN"/>
        </w:rPr>
        <w:t>年</w:t>
      </w:r>
      <w:r>
        <w:rPr>
          <w:rFonts w:hint="eastAsia" w:ascii="宋体" w:hAnsi="宋体" w:cs="宋体"/>
          <w:b/>
          <w:bCs/>
          <w:color w:val="000000" w:themeColor="text1"/>
          <w:sz w:val="32"/>
          <w:szCs w:val="32"/>
          <w:highlight w:val="none"/>
          <w:lang w:val="en-US" w:eastAsia="zh-CN"/>
          <w14:textFill>
            <w14:solidFill>
              <w14:schemeClr w14:val="tx1"/>
            </w14:solidFill>
          </w14:textFill>
        </w:rPr>
        <w:t>7</w:t>
      </w: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月</w:t>
      </w:r>
      <w:r>
        <w:rPr>
          <w:rFonts w:hint="eastAsia" w:ascii="宋体" w:hAnsi="宋体" w:cs="宋体"/>
          <w:b/>
          <w:bCs/>
          <w:color w:val="000000" w:themeColor="text1"/>
          <w:sz w:val="32"/>
          <w:szCs w:val="32"/>
          <w:highlight w:val="none"/>
          <w:lang w:val="en-US" w:eastAsia="zh-CN"/>
          <w14:textFill>
            <w14:solidFill>
              <w14:schemeClr w14:val="tx1"/>
            </w14:solidFill>
          </w14:textFill>
        </w:rPr>
        <w:t>16</w:t>
      </w: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日</w:t>
      </w:r>
    </w:p>
    <w:p w14:paraId="5EEE0809">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hAnsi="方正小标宋简体" w:eastAsia="方正小标宋简体" w:cs="方正小标宋简体"/>
          <w:b w:val="0"/>
          <w:bCs/>
          <w:sz w:val="44"/>
          <w:szCs w:val="44"/>
          <w:lang w:val="en-US" w:eastAsia="zh-CN"/>
        </w:rPr>
        <w:t xml:space="preserve">  </w:t>
      </w:r>
    </w:p>
    <w:p w14:paraId="6D8FF9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2024年扶风县绛帐镇迎宾路南段排水硬化</w:t>
      </w:r>
    </w:p>
    <w:p w14:paraId="340D30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工程绩效评价报告</w:t>
      </w:r>
    </w:p>
    <w:p w14:paraId="481ACAAC">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auto"/>
          <w:sz w:val="32"/>
          <w:szCs w:val="32"/>
          <w:highlight w:val="none"/>
          <w:lang w:val="en-US" w:eastAsia="zh-CN"/>
        </w:rPr>
      </w:pPr>
    </w:p>
    <w:p w14:paraId="7734D5C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扶风县绛帐镇人民政府</w:t>
      </w:r>
      <w:r>
        <w:rPr>
          <w:rFonts w:hint="eastAsia" w:ascii="仿宋_GB2312" w:hAnsi="仿宋_GB2312" w:eastAsia="仿宋_GB2312" w:cs="仿宋_GB2312"/>
          <w:color w:val="auto"/>
          <w:sz w:val="32"/>
          <w:szCs w:val="32"/>
          <w:highlight w:val="none"/>
        </w:rPr>
        <w:t>：</w:t>
      </w:r>
    </w:p>
    <w:p w14:paraId="2FF3EF11">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sz w:val="32"/>
          <w:szCs w:val="32"/>
          <w:highlight w:val="none"/>
        </w:rPr>
      </w:pPr>
      <w:bookmarkStart w:id="0" w:name="_Toc206309462"/>
      <w:r>
        <w:rPr>
          <w:rFonts w:hint="eastAsia" w:ascii="仿宋_GB2312" w:hAnsi="仿宋_GB2312" w:eastAsia="仿宋_GB2312" w:cs="仿宋_GB2312"/>
          <w:bCs/>
          <w:sz w:val="32"/>
          <w:szCs w:val="32"/>
          <w:highlight w:val="none"/>
          <w:lang w:val="en-US" w:eastAsia="zh-CN"/>
        </w:rPr>
        <w:t>为深入贯彻落实党中央和省、市全面实施预算绩效管理的部署要求，加强财政支出管理，提高财政资金使用效益，根据财政部《关于印发〈项目支出绩效评价管理办法〉的通知》（财预〔2020〕10号）、宝鸡市财政局《宝鸡市加快实现预算绩效管理改革目标行动方案》（宝市财办检〔2021〕16号）、</w:t>
      </w:r>
      <w:r>
        <w:rPr>
          <w:rFonts w:hint="eastAsia" w:ascii="仿宋_GB2312" w:hAnsi="仿宋_GB2312" w:eastAsia="仿宋_GB2312" w:cs="仿宋_GB2312"/>
          <w:bCs/>
          <w:color w:val="auto"/>
          <w:sz w:val="32"/>
          <w:szCs w:val="32"/>
          <w:highlight w:val="none"/>
          <w:lang w:val="en-US" w:eastAsia="zh-CN"/>
        </w:rPr>
        <w:t>《扶风县财政局关于开展2024年度事后财政重点项目及部门整体支出绩效评价工作的通知》（扶财办绩〔2025〕5号）</w:t>
      </w:r>
      <w:r>
        <w:rPr>
          <w:rFonts w:hint="eastAsia" w:ascii="仿宋_GB2312" w:hAnsi="仿宋_GB2312" w:eastAsia="仿宋_GB2312" w:cs="仿宋_GB2312"/>
          <w:bCs/>
          <w:sz w:val="32"/>
          <w:szCs w:val="32"/>
          <w:highlight w:val="none"/>
          <w:lang w:val="en-US" w:eastAsia="zh-CN"/>
        </w:rPr>
        <w:t>等相关文件要求，我局立即</w:t>
      </w:r>
      <w:r>
        <w:rPr>
          <w:rFonts w:hint="eastAsia" w:ascii="仿宋_GB2312" w:hAnsi="仿宋_GB2312" w:eastAsia="仿宋_GB2312" w:cs="仿宋_GB2312"/>
          <w:color w:val="auto"/>
          <w:kern w:val="2"/>
          <w:sz w:val="32"/>
          <w:szCs w:val="32"/>
          <w:highlight w:val="none"/>
          <w:lang w:val="en-US" w:eastAsia="zh-CN" w:bidi="ar-SA"/>
        </w:rPr>
        <w:t>成立绩效评价工作小组</w:t>
      </w:r>
      <w:r>
        <w:rPr>
          <w:rFonts w:hint="eastAsia" w:ascii="仿宋_GB2312" w:hAnsi="仿宋_GB2312" w:eastAsia="仿宋_GB2312" w:cs="仿宋_GB2312"/>
          <w:bCs/>
          <w:sz w:val="32"/>
          <w:szCs w:val="32"/>
          <w:highlight w:val="none"/>
          <w:lang w:val="en-US" w:eastAsia="zh-CN"/>
        </w:rPr>
        <w:t>，深入项目实施单位，通过座谈交流、查阅资料、现场查看、</w:t>
      </w:r>
      <w:r>
        <w:rPr>
          <w:rFonts w:hint="eastAsia" w:ascii="仿宋_GB2312" w:hAnsi="仿宋_GB2312" w:eastAsia="仿宋_GB2312" w:cs="仿宋_GB2312"/>
          <w:bCs/>
          <w:color w:val="auto"/>
          <w:sz w:val="32"/>
          <w:szCs w:val="32"/>
          <w:highlight w:val="none"/>
          <w:lang w:val="en-US" w:eastAsia="zh-CN"/>
        </w:rPr>
        <w:t>问卷调查、查询账务系统、对比分析、综合研判等方式，在项目单位自评的基础上，遵循科学、规范、客观、公正的原则，对</w:t>
      </w:r>
      <w:r>
        <w:rPr>
          <w:rFonts w:hint="eastAsia" w:ascii="仿宋_GB2312" w:hAnsi="仿宋_GB2312" w:eastAsia="仿宋_GB2312" w:cs="仿宋_GB2312"/>
          <w:color w:val="auto"/>
          <w:kern w:val="0"/>
          <w:sz w:val="32"/>
          <w:szCs w:val="32"/>
          <w:highlight w:val="none"/>
          <w:lang w:val="en-US" w:eastAsia="zh-CN"/>
        </w:rPr>
        <w:t>2024年扶风县绛帐镇迎宾路南段排水硬化工程</w:t>
      </w:r>
      <w:r>
        <w:rPr>
          <w:rFonts w:hint="eastAsia" w:ascii="仿宋_GB2312" w:hAnsi="仿宋_GB2312" w:eastAsia="仿宋_GB2312" w:cs="仿宋_GB2312"/>
          <w:bCs/>
          <w:color w:val="auto"/>
          <w:sz w:val="32"/>
          <w:szCs w:val="32"/>
          <w:highlight w:val="none"/>
          <w:lang w:val="en-US" w:eastAsia="zh-CN"/>
        </w:rPr>
        <w:t>开展了绩效评价</w:t>
      </w:r>
      <w:r>
        <w:rPr>
          <w:rFonts w:hint="eastAsia" w:ascii="仿宋_GB2312" w:hAnsi="仿宋_GB2312" w:eastAsia="仿宋_GB2312" w:cs="仿宋_GB2312"/>
          <w:bCs/>
          <w:sz w:val="32"/>
          <w:szCs w:val="32"/>
          <w:highlight w:val="none"/>
          <w:lang w:val="en-US" w:eastAsia="zh-CN"/>
        </w:rPr>
        <w:t>。现将评价情况报告如下</w:t>
      </w:r>
      <w:r>
        <w:rPr>
          <w:rFonts w:hint="eastAsia" w:ascii="仿宋_GB2312" w:hAnsi="仿宋_GB2312" w:eastAsia="仿宋_GB2312" w:cs="仿宋_GB2312"/>
          <w:color w:val="auto"/>
          <w:sz w:val="32"/>
          <w:szCs w:val="32"/>
          <w:highlight w:val="none"/>
        </w:rPr>
        <w:t>：</w:t>
      </w:r>
    </w:p>
    <w:p w14:paraId="5D130946">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default"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一、项目概况</w:t>
      </w:r>
    </w:p>
    <w:p w14:paraId="14CD0CA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b/>
          <w:bCs/>
          <w:spacing w:val="3"/>
          <w:sz w:val="25"/>
          <w:szCs w:val="25"/>
        </w:rPr>
      </w:pPr>
      <w:r>
        <w:rPr>
          <w:rFonts w:hint="eastAsia" w:ascii="楷体" w:hAnsi="楷体" w:eastAsia="楷体" w:cs="楷体"/>
          <w:b/>
          <w:bCs/>
          <w:color w:val="auto"/>
          <w:sz w:val="32"/>
          <w:szCs w:val="32"/>
          <w:highlight w:val="none"/>
          <w:lang w:val="en-US" w:eastAsia="zh-CN"/>
        </w:rPr>
        <w:t>（一）项目背景</w:t>
      </w:r>
    </w:p>
    <w:p w14:paraId="2FB7C9B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0"/>
          <w:sz w:val="32"/>
          <w:szCs w:val="32"/>
          <w:highlight w:val="none"/>
          <w:lang w:val="en-US" w:eastAsia="zh-CN"/>
        </w:rPr>
      </w:pPr>
      <w:bookmarkStart w:id="1" w:name="OLE_LINK1"/>
      <w:r>
        <w:rPr>
          <w:rFonts w:hint="eastAsia" w:ascii="仿宋_GB2312" w:hAnsi="仿宋_GB2312" w:eastAsia="仿宋_GB2312" w:cs="仿宋_GB2312"/>
          <w:color w:val="auto"/>
          <w:kern w:val="0"/>
          <w:sz w:val="32"/>
          <w:szCs w:val="32"/>
          <w:highlight w:val="none"/>
          <w:lang w:val="en-US" w:eastAsia="zh-CN"/>
        </w:rPr>
        <w:t>绛帐镇迎宾路南段排水硬化</w:t>
      </w:r>
      <w:bookmarkEnd w:id="1"/>
      <w:r>
        <w:rPr>
          <w:rFonts w:hint="eastAsia" w:ascii="仿宋_GB2312" w:hAnsi="仿宋_GB2312" w:eastAsia="仿宋_GB2312" w:cs="仿宋_GB2312"/>
          <w:color w:val="auto"/>
          <w:kern w:val="0"/>
          <w:sz w:val="32"/>
          <w:szCs w:val="32"/>
          <w:highlight w:val="none"/>
          <w:lang w:val="en-US" w:eastAsia="zh-CN"/>
        </w:rPr>
        <w:t>工程道路位于绛宋路与迎宾大道交叉口以南,总长601.98米,东大洋混凝土厂以北宽 13.5米，东大洋混凝土厂以南宽11米。</w:t>
      </w:r>
    </w:p>
    <w:p w14:paraId="74B3C90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2024年3月26日，经县政府2024年第五次常务会议研究通过予以立项。</w:t>
      </w:r>
    </w:p>
    <w:p w14:paraId="1332087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color w:val="auto"/>
          <w:sz w:val="32"/>
          <w:szCs w:val="32"/>
          <w:highlight w:val="none"/>
          <w:lang w:val="en-US" w:eastAsia="zh-CN"/>
        </w:rPr>
        <w:t>（二）项目基本情况</w:t>
      </w:r>
    </w:p>
    <w:p w14:paraId="44BD099A">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spacing w:val="-17"/>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zh-CN" w:eastAsia="zh-CN" w:bidi="ar-SA"/>
        </w:rPr>
        <w:t>项目名称：</w:t>
      </w:r>
      <w:r>
        <w:rPr>
          <w:rFonts w:hint="eastAsia" w:ascii="仿宋_GB2312" w:hAnsi="仿宋_GB2312" w:eastAsia="仿宋_GB2312" w:cs="仿宋_GB2312"/>
          <w:color w:val="auto"/>
          <w:spacing w:val="-17"/>
          <w:kern w:val="2"/>
          <w:sz w:val="32"/>
          <w:szCs w:val="32"/>
          <w:highlight w:val="none"/>
          <w:lang w:val="en-US" w:eastAsia="zh-CN" w:bidi="ar-SA"/>
        </w:rPr>
        <w:t>2024年扶风县绛帐镇迎宾路南段排水硬化工程</w:t>
      </w:r>
    </w:p>
    <w:p w14:paraId="4D244201">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2.主管部门及实施单位：扶风县绛帐镇人民政府</w:t>
      </w:r>
    </w:p>
    <w:p w14:paraId="51B08ECC">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3.建设地点：扶风县绛帐镇绛宋路与迎宾大道十字向南至砂场</w:t>
      </w:r>
    </w:p>
    <w:p w14:paraId="2C729627">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4.项目建设内容和规模：迎宾路道路总长度为601.98米，道路红线宽度为11.0/13.5米(其中高铁以北道路宽13.5米，长371米;高铁以南道路宽11米,长230.98米):修建雨水管道605.12米，污水管道614.09米等配套设施。</w:t>
      </w:r>
    </w:p>
    <w:p w14:paraId="635537DA">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5.计划建设期限：2024年3月</w:t>
      </w:r>
      <w:r>
        <w:rPr>
          <w:rFonts w:hint="eastAsia" w:ascii="仿宋_GB2312" w:hAnsi="仿宋_GB2312" w:eastAsia="仿宋_GB2312" w:cs="仿宋_GB2312"/>
          <w:color w:val="auto"/>
          <w:kern w:val="2"/>
          <w:sz w:val="32"/>
          <w:szCs w:val="32"/>
          <w:highlight w:val="none"/>
          <w:lang w:val="zh-CN" w:eastAsia="zh-CN" w:bidi="ar-SA"/>
        </w:rPr>
        <w:t>至</w:t>
      </w:r>
      <w:r>
        <w:rPr>
          <w:rFonts w:hint="eastAsia" w:ascii="仿宋_GB2312" w:hAnsi="仿宋_GB2312" w:eastAsia="仿宋_GB2312" w:cs="仿宋_GB2312"/>
          <w:color w:val="auto"/>
          <w:kern w:val="2"/>
          <w:sz w:val="32"/>
          <w:szCs w:val="32"/>
          <w:highlight w:val="none"/>
          <w:lang w:val="en-US" w:eastAsia="zh-CN" w:bidi="ar-SA"/>
        </w:rPr>
        <w:t>2024年12月</w:t>
      </w:r>
    </w:p>
    <w:p w14:paraId="4F30B379">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6.投资估算：项目估算总投资716.00万元</w:t>
      </w:r>
    </w:p>
    <w:p w14:paraId="37A7440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7.财政预算资金：400.00万元</w:t>
      </w:r>
    </w:p>
    <w:p w14:paraId="7D1384D4">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8.资金来源：申请中省补助及地方财政资金</w:t>
      </w:r>
    </w:p>
    <w:p w14:paraId="5D003ECD">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9.预期效益及作用：通过项目实施,能有效提高和发挥基础设施社会服务功能，推进道路工程、绿化、亮化等基础设施建设，不断完善城市功能,提高居民生活品质,为经济社会发展打造良好的环境。通过加快基础设施建设，把绛帐镇建设成为一个道路通畅、环境美、景观秀丽的新城镇，将提升绛帐镇的城市形象。对于加速扶风县及绛帐镇的建设和发展，进一步改善当地的投资环境，促进区域经济社会高质量发展具有重要的作用和意义。</w:t>
      </w:r>
    </w:p>
    <w:p w14:paraId="7674AF9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color w:val="auto"/>
          <w:kern w:val="2"/>
          <w:sz w:val="32"/>
          <w:szCs w:val="32"/>
          <w:highlight w:val="none"/>
          <w:lang w:val="en-US" w:eastAsia="zh-CN" w:bidi="ar-SA"/>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rPr>
        <w:t>安排情况</w:t>
      </w:r>
    </w:p>
    <w:p w14:paraId="4E06698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1.项目资金预算情况</w:t>
      </w:r>
    </w:p>
    <w:p w14:paraId="2E4C671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2024年4月1日，扶风县财政局以《关于下达财政预算支出指标的通知》（扶财办预〔2024〕62号）文件下达安排一般性债券资金400.00万元，详见表1。</w:t>
      </w:r>
    </w:p>
    <w:p w14:paraId="177D039D">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表1  项目资金预算情况表</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21"/>
          <w:szCs w:val="21"/>
          <w:highlight w:val="none"/>
          <w:lang w:val="en-US" w:eastAsia="zh-CN"/>
        </w:rPr>
        <w:t xml:space="preserve">   单位：万元</w:t>
      </w:r>
    </w:p>
    <w:tbl>
      <w:tblPr>
        <w:tblStyle w:val="16"/>
        <w:tblpPr w:leftFromText="181" w:rightFromText="181" w:vertAnchor="text" w:horzAnchor="page" w:tblpX="1668" w:tblpY="114"/>
        <w:tblOverlap w:val="never"/>
        <w:tblW w:w="87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2041"/>
        <w:gridCol w:w="1720"/>
        <w:gridCol w:w="2540"/>
        <w:gridCol w:w="1116"/>
        <w:gridCol w:w="696"/>
      </w:tblGrid>
      <w:tr w14:paraId="6F9DF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658" w:type="dxa"/>
            <w:tcBorders>
              <w:left w:val="nil"/>
              <w:bottom w:val="single" w:color="auto" w:sz="4" w:space="0"/>
              <w:right w:val="single" w:color="auto" w:sz="4" w:space="0"/>
            </w:tcBorders>
            <w:shd w:val="clear" w:color="auto" w:fill="D7D7D7"/>
            <w:noWrap w:val="0"/>
            <w:vAlign w:val="center"/>
          </w:tcPr>
          <w:p w14:paraId="3BA62B2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序号</w:t>
            </w:r>
          </w:p>
        </w:tc>
        <w:tc>
          <w:tcPr>
            <w:tcW w:w="2041" w:type="dxa"/>
            <w:tcBorders>
              <w:left w:val="single" w:color="auto" w:sz="4" w:space="0"/>
              <w:bottom w:val="single" w:color="auto" w:sz="4" w:space="0"/>
              <w:right w:val="single" w:color="000000" w:sz="4" w:space="0"/>
            </w:tcBorders>
            <w:shd w:val="clear" w:color="auto" w:fill="D7D7D7"/>
            <w:noWrap w:val="0"/>
            <w:vAlign w:val="center"/>
          </w:tcPr>
          <w:p w14:paraId="5DCC1FC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项目名称</w:t>
            </w:r>
          </w:p>
        </w:tc>
        <w:tc>
          <w:tcPr>
            <w:tcW w:w="1720" w:type="dxa"/>
            <w:tcBorders>
              <w:left w:val="single" w:color="000000" w:sz="4" w:space="0"/>
              <w:bottom w:val="single" w:color="auto" w:sz="4" w:space="0"/>
              <w:right w:val="single" w:color="auto" w:sz="4" w:space="0"/>
            </w:tcBorders>
            <w:shd w:val="clear" w:color="auto" w:fill="D7D7D7"/>
            <w:noWrap w:val="0"/>
            <w:vAlign w:val="center"/>
          </w:tcPr>
          <w:p w14:paraId="592AC1B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预算资金</w:t>
            </w:r>
          </w:p>
        </w:tc>
        <w:tc>
          <w:tcPr>
            <w:tcW w:w="2540" w:type="dxa"/>
            <w:tcBorders>
              <w:left w:val="single" w:color="auto" w:sz="4" w:space="0"/>
              <w:bottom w:val="single" w:color="auto" w:sz="4" w:space="0"/>
              <w:right w:val="nil"/>
            </w:tcBorders>
            <w:shd w:val="clear" w:color="auto" w:fill="D7D7D7"/>
            <w:noWrap w:val="0"/>
            <w:vAlign w:val="center"/>
          </w:tcPr>
          <w:p w14:paraId="4D2C4B8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批复文号</w:t>
            </w:r>
          </w:p>
        </w:tc>
        <w:tc>
          <w:tcPr>
            <w:tcW w:w="1116" w:type="dxa"/>
            <w:tcBorders>
              <w:left w:val="single" w:color="auto" w:sz="4" w:space="0"/>
              <w:bottom w:val="single" w:color="auto" w:sz="4" w:space="0"/>
              <w:right w:val="nil"/>
            </w:tcBorders>
            <w:shd w:val="clear" w:color="auto" w:fill="D7D7D7"/>
            <w:noWrap w:val="0"/>
            <w:vAlign w:val="center"/>
          </w:tcPr>
          <w:p w14:paraId="36A809E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预算日期</w:t>
            </w:r>
          </w:p>
        </w:tc>
        <w:tc>
          <w:tcPr>
            <w:tcW w:w="696" w:type="dxa"/>
            <w:tcBorders>
              <w:left w:val="single" w:color="auto" w:sz="4" w:space="0"/>
              <w:bottom w:val="single" w:color="auto" w:sz="4" w:space="0"/>
              <w:right w:val="nil"/>
            </w:tcBorders>
            <w:shd w:val="clear" w:color="auto" w:fill="D7D7D7"/>
            <w:noWrap w:val="0"/>
            <w:vAlign w:val="center"/>
          </w:tcPr>
          <w:p w14:paraId="432D0C2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kern w:val="2"/>
                <w:sz w:val="21"/>
                <w:szCs w:val="21"/>
                <w:highlight w:val="none"/>
                <w:vertAlign w:val="baseline"/>
                <w:lang w:val="en-US" w:eastAsia="zh-CN" w:bidi="ar-SA"/>
              </w:rPr>
              <w:t>备注</w:t>
            </w:r>
          </w:p>
        </w:tc>
      </w:tr>
      <w:tr w14:paraId="13816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658" w:type="dxa"/>
            <w:tcBorders>
              <w:top w:val="single" w:color="auto" w:sz="4" w:space="0"/>
              <w:left w:val="nil"/>
              <w:right w:val="single" w:color="auto" w:sz="4" w:space="0"/>
            </w:tcBorders>
            <w:noWrap w:val="0"/>
            <w:vAlign w:val="center"/>
          </w:tcPr>
          <w:p w14:paraId="5719A72D">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w:t>
            </w:r>
          </w:p>
        </w:tc>
        <w:tc>
          <w:tcPr>
            <w:tcW w:w="2041" w:type="dxa"/>
            <w:tcBorders>
              <w:top w:val="single" w:color="auto" w:sz="4" w:space="0"/>
              <w:left w:val="single" w:color="auto" w:sz="4" w:space="0"/>
              <w:right w:val="single" w:color="000000" w:sz="4" w:space="0"/>
            </w:tcBorders>
            <w:noWrap w:val="0"/>
            <w:vAlign w:val="center"/>
          </w:tcPr>
          <w:p w14:paraId="124BDBA8">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sz w:val="21"/>
                <w:szCs w:val="21"/>
                <w:lang w:eastAsia="zh-CN"/>
              </w:rPr>
              <w:t>绛帐镇迎宾路南段排水硬化工程</w:t>
            </w:r>
          </w:p>
        </w:tc>
        <w:tc>
          <w:tcPr>
            <w:tcW w:w="1720" w:type="dxa"/>
            <w:tcBorders>
              <w:top w:val="single" w:color="auto" w:sz="4" w:space="0"/>
              <w:left w:val="single" w:color="000000" w:sz="4" w:space="0"/>
              <w:bottom w:val="single" w:color="auto" w:sz="4" w:space="0"/>
              <w:right w:val="single" w:color="auto" w:sz="4" w:space="0"/>
            </w:tcBorders>
            <w:noWrap w:val="0"/>
            <w:vAlign w:val="center"/>
          </w:tcPr>
          <w:p w14:paraId="7F0DB0AB">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400.00</w:t>
            </w:r>
          </w:p>
        </w:tc>
        <w:tc>
          <w:tcPr>
            <w:tcW w:w="2540" w:type="dxa"/>
            <w:tcBorders>
              <w:top w:val="single" w:color="auto" w:sz="4" w:space="0"/>
              <w:left w:val="single" w:color="auto" w:sz="4" w:space="0"/>
              <w:bottom w:val="single" w:color="auto" w:sz="4" w:space="0"/>
              <w:right w:val="nil"/>
            </w:tcBorders>
            <w:noWrap w:val="0"/>
            <w:vAlign w:val="center"/>
          </w:tcPr>
          <w:p w14:paraId="31EAABB2">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扶财办预〔2024〕62号</w:t>
            </w:r>
          </w:p>
        </w:tc>
        <w:tc>
          <w:tcPr>
            <w:tcW w:w="1116" w:type="dxa"/>
            <w:tcBorders>
              <w:top w:val="single" w:color="auto" w:sz="4" w:space="0"/>
              <w:left w:val="single" w:color="auto" w:sz="4" w:space="0"/>
              <w:right w:val="nil"/>
            </w:tcBorders>
            <w:noWrap w:val="0"/>
            <w:vAlign w:val="center"/>
          </w:tcPr>
          <w:p w14:paraId="24E54989">
            <w:pPr>
              <w:pStyle w:val="3"/>
              <w:spacing w:line="240" w:lineRule="auto"/>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2024.4.1</w:t>
            </w:r>
          </w:p>
        </w:tc>
        <w:tc>
          <w:tcPr>
            <w:tcW w:w="696" w:type="dxa"/>
            <w:tcBorders>
              <w:top w:val="single" w:color="auto" w:sz="4" w:space="0"/>
              <w:left w:val="single" w:color="auto" w:sz="4" w:space="0"/>
              <w:bottom w:val="single" w:color="auto" w:sz="4" w:space="0"/>
              <w:right w:val="nil"/>
            </w:tcBorders>
            <w:noWrap w:val="0"/>
            <w:vAlign w:val="center"/>
          </w:tcPr>
          <w:p w14:paraId="0AA3E54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r w14:paraId="4ABA7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58" w:type="dxa"/>
            <w:tcBorders>
              <w:top w:val="single" w:color="auto" w:sz="4" w:space="0"/>
              <w:left w:val="nil"/>
              <w:bottom w:val="single" w:color="auto" w:sz="4" w:space="0"/>
              <w:right w:val="single" w:color="auto" w:sz="4" w:space="0"/>
            </w:tcBorders>
            <w:shd w:val="clear" w:color="auto" w:fill="auto"/>
            <w:noWrap w:val="0"/>
            <w:vAlign w:val="center"/>
          </w:tcPr>
          <w:p w14:paraId="449E74F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合计</w:t>
            </w:r>
          </w:p>
        </w:tc>
        <w:tc>
          <w:tcPr>
            <w:tcW w:w="2041"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3139819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1720" w:type="dxa"/>
            <w:tcBorders>
              <w:top w:val="single" w:color="auto" w:sz="4" w:space="0"/>
              <w:left w:val="single" w:color="000000" w:sz="4" w:space="0"/>
              <w:bottom w:val="single" w:color="auto" w:sz="4" w:space="0"/>
              <w:right w:val="single" w:color="auto" w:sz="4" w:space="0"/>
            </w:tcBorders>
            <w:noWrap w:val="0"/>
            <w:vAlign w:val="center"/>
          </w:tcPr>
          <w:p w14:paraId="0DD0A72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400.00</w:t>
            </w:r>
          </w:p>
        </w:tc>
        <w:tc>
          <w:tcPr>
            <w:tcW w:w="2540" w:type="dxa"/>
            <w:tcBorders>
              <w:top w:val="single" w:color="auto" w:sz="4" w:space="0"/>
              <w:left w:val="single" w:color="auto" w:sz="4" w:space="0"/>
              <w:bottom w:val="single" w:color="auto" w:sz="4" w:space="0"/>
              <w:right w:val="nil"/>
            </w:tcBorders>
            <w:noWrap w:val="0"/>
            <w:vAlign w:val="center"/>
          </w:tcPr>
          <w:p w14:paraId="37FB1F4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1116" w:type="dxa"/>
            <w:tcBorders>
              <w:top w:val="single" w:color="auto" w:sz="4" w:space="0"/>
              <w:left w:val="single" w:color="auto" w:sz="4" w:space="0"/>
              <w:bottom w:val="single" w:color="auto" w:sz="4" w:space="0"/>
              <w:right w:val="nil"/>
            </w:tcBorders>
            <w:noWrap w:val="0"/>
            <w:vAlign w:val="center"/>
          </w:tcPr>
          <w:p w14:paraId="3AFC61A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696" w:type="dxa"/>
            <w:tcBorders>
              <w:top w:val="single" w:color="auto" w:sz="4" w:space="0"/>
              <w:left w:val="single" w:color="auto" w:sz="4" w:space="0"/>
              <w:bottom w:val="single" w:color="auto" w:sz="4" w:space="0"/>
              <w:right w:val="nil"/>
            </w:tcBorders>
            <w:noWrap w:val="0"/>
            <w:vAlign w:val="center"/>
          </w:tcPr>
          <w:p w14:paraId="6F22C97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r>
    </w:tbl>
    <w:p w14:paraId="7A75405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2.项目资金到位情况</w:t>
      </w:r>
    </w:p>
    <w:p w14:paraId="35B2E17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该项目共拨付到位资金400.00万元，预算资金到位率100%，详见表2。</w:t>
      </w:r>
    </w:p>
    <w:p w14:paraId="492A05A7">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表2   项目资金到位情况表</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21"/>
          <w:szCs w:val="21"/>
          <w:highlight w:val="none"/>
          <w:lang w:val="en-US" w:eastAsia="zh-CN"/>
        </w:rPr>
        <w:t xml:space="preserve">   单位：万元</w:t>
      </w:r>
    </w:p>
    <w:tbl>
      <w:tblPr>
        <w:tblStyle w:val="16"/>
        <w:tblpPr w:leftFromText="181" w:rightFromText="181" w:vertAnchor="text" w:horzAnchor="page" w:tblpX="1668" w:tblpY="114"/>
        <w:tblOverlap w:val="never"/>
        <w:tblW w:w="87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979"/>
        <w:gridCol w:w="1790"/>
        <w:gridCol w:w="2532"/>
        <w:gridCol w:w="1150"/>
        <w:gridCol w:w="662"/>
      </w:tblGrid>
      <w:tr w14:paraId="5CEB3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658" w:type="dxa"/>
            <w:tcBorders>
              <w:left w:val="nil"/>
              <w:bottom w:val="single" w:color="auto" w:sz="4" w:space="0"/>
              <w:right w:val="single" w:color="auto" w:sz="4" w:space="0"/>
            </w:tcBorders>
            <w:shd w:val="clear" w:color="auto" w:fill="D7D7D7"/>
            <w:noWrap w:val="0"/>
            <w:vAlign w:val="center"/>
          </w:tcPr>
          <w:p w14:paraId="45E1D54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序号</w:t>
            </w:r>
          </w:p>
        </w:tc>
        <w:tc>
          <w:tcPr>
            <w:tcW w:w="1979" w:type="dxa"/>
            <w:tcBorders>
              <w:left w:val="single" w:color="auto" w:sz="4" w:space="0"/>
              <w:bottom w:val="single" w:color="auto" w:sz="4" w:space="0"/>
              <w:right w:val="single" w:color="000000" w:sz="4" w:space="0"/>
            </w:tcBorders>
            <w:shd w:val="clear" w:color="auto" w:fill="D7D7D7"/>
            <w:noWrap w:val="0"/>
            <w:vAlign w:val="center"/>
          </w:tcPr>
          <w:p w14:paraId="441FDBC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项目名称</w:t>
            </w:r>
          </w:p>
        </w:tc>
        <w:tc>
          <w:tcPr>
            <w:tcW w:w="1790" w:type="dxa"/>
            <w:tcBorders>
              <w:left w:val="single" w:color="000000" w:sz="4" w:space="0"/>
              <w:bottom w:val="single" w:color="auto" w:sz="4" w:space="0"/>
              <w:right w:val="single" w:color="auto" w:sz="4" w:space="0"/>
            </w:tcBorders>
            <w:shd w:val="clear" w:color="auto" w:fill="D7D7D7"/>
            <w:noWrap w:val="0"/>
            <w:vAlign w:val="center"/>
          </w:tcPr>
          <w:p w14:paraId="1A20B56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预算资金</w:t>
            </w:r>
          </w:p>
        </w:tc>
        <w:tc>
          <w:tcPr>
            <w:tcW w:w="2532" w:type="dxa"/>
            <w:tcBorders>
              <w:left w:val="single" w:color="auto" w:sz="4" w:space="0"/>
              <w:bottom w:val="single" w:color="auto" w:sz="4" w:space="0"/>
              <w:right w:val="nil"/>
            </w:tcBorders>
            <w:shd w:val="clear" w:color="auto" w:fill="D7D7D7"/>
            <w:noWrap w:val="0"/>
            <w:vAlign w:val="center"/>
          </w:tcPr>
          <w:p w14:paraId="560B95C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到位资金</w:t>
            </w:r>
          </w:p>
        </w:tc>
        <w:tc>
          <w:tcPr>
            <w:tcW w:w="1150" w:type="dxa"/>
            <w:tcBorders>
              <w:left w:val="single" w:color="auto" w:sz="4" w:space="0"/>
              <w:bottom w:val="single" w:color="auto" w:sz="4" w:space="0"/>
              <w:right w:val="nil"/>
            </w:tcBorders>
            <w:shd w:val="clear" w:color="auto" w:fill="D7D7D7"/>
            <w:noWrap w:val="0"/>
            <w:vAlign w:val="center"/>
          </w:tcPr>
          <w:p w14:paraId="2C28618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到位日期</w:t>
            </w:r>
          </w:p>
        </w:tc>
        <w:tc>
          <w:tcPr>
            <w:tcW w:w="662" w:type="dxa"/>
            <w:tcBorders>
              <w:left w:val="single" w:color="auto" w:sz="4" w:space="0"/>
              <w:bottom w:val="single" w:color="auto" w:sz="4" w:space="0"/>
              <w:right w:val="nil"/>
            </w:tcBorders>
            <w:shd w:val="clear" w:color="auto" w:fill="D7D7D7"/>
            <w:noWrap w:val="0"/>
            <w:vAlign w:val="center"/>
          </w:tcPr>
          <w:p w14:paraId="27FCCE1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kern w:val="2"/>
                <w:sz w:val="21"/>
                <w:szCs w:val="21"/>
                <w:highlight w:val="none"/>
                <w:vertAlign w:val="baseline"/>
                <w:lang w:val="en-US" w:eastAsia="zh-CN" w:bidi="ar-SA"/>
              </w:rPr>
              <w:t>备注</w:t>
            </w:r>
          </w:p>
        </w:tc>
      </w:tr>
      <w:tr w14:paraId="0302B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658" w:type="dxa"/>
            <w:tcBorders>
              <w:top w:val="single" w:color="auto" w:sz="4" w:space="0"/>
              <w:left w:val="nil"/>
              <w:right w:val="single" w:color="auto" w:sz="4" w:space="0"/>
            </w:tcBorders>
            <w:noWrap w:val="0"/>
            <w:vAlign w:val="center"/>
          </w:tcPr>
          <w:p w14:paraId="458C1243">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w:t>
            </w:r>
          </w:p>
        </w:tc>
        <w:tc>
          <w:tcPr>
            <w:tcW w:w="1979" w:type="dxa"/>
            <w:tcBorders>
              <w:top w:val="single" w:color="auto" w:sz="4" w:space="0"/>
              <w:left w:val="single" w:color="auto" w:sz="4" w:space="0"/>
              <w:right w:val="single" w:color="000000" w:sz="4" w:space="0"/>
            </w:tcBorders>
            <w:noWrap w:val="0"/>
            <w:vAlign w:val="center"/>
          </w:tcPr>
          <w:p w14:paraId="358D61A7">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绛帐镇迎宾路南段排水硬化工程</w:t>
            </w:r>
          </w:p>
        </w:tc>
        <w:tc>
          <w:tcPr>
            <w:tcW w:w="1790" w:type="dxa"/>
            <w:tcBorders>
              <w:top w:val="single" w:color="auto" w:sz="4" w:space="0"/>
              <w:left w:val="single" w:color="000000" w:sz="4" w:space="0"/>
              <w:bottom w:val="single" w:color="auto" w:sz="4" w:space="0"/>
              <w:right w:val="single" w:color="auto" w:sz="4" w:space="0"/>
            </w:tcBorders>
            <w:noWrap w:val="0"/>
            <w:vAlign w:val="center"/>
          </w:tcPr>
          <w:p w14:paraId="726DA477">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400.00</w:t>
            </w:r>
          </w:p>
        </w:tc>
        <w:tc>
          <w:tcPr>
            <w:tcW w:w="2532" w:type="dxa"/>
            <w:tcBorders>
              <w:top w:val="single" w:color="auto" w:sz="4" w:space="0"/>
              <w:left w:val="single" w:color="auto" w:sz="4" w:space="0"/>
              <w:bottom w:val="single" w:color="auto" w:sz="4" w:space="0"/>
              <w:right w:val="nil"/>
            </w:tcBorders>
            <w:noWrap w:val="0"/>
            <w:vAlign w:val="center"/>
          </w:tcPr>
          <w:p w14:paraId="5849059B">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green"/>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400.00</w:t>
            </w:r>
          </w:p>
        </w:tc>
        <w:tc>
          <w:tcPr>
            <w:tcW w:w="1150" w:type="dxa"/>
            <w:tcBorders>
              <w:top w:val="single" w:color="auto" w:sz="4" w:space="0"/>
              <w:left w:val="single" w:color="auto" w:sz="4" w:space="0"/>
              <w:right w:val="nil"/>
            </w:tcBorders>
            <w:noWrap w:val="0"/>
            <w:vAlign w:val="center"/>
          </w:tcPr>
          <w:p w14:paraId="094A1BA0">
            <w:pPr>
              <w:pStyle w:val="3"/>
              <w:spacing w:line="240" w:lineRule="auto"/>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2024.4.1</w:t>
            </w:r>
          </w:p>
        </w:tc>
        <w:tc>
          <w:tcPr>
            <w:tcW w:w="662" w:type="dxa"/>
            <w:tcBorders>
              <w:top w:val="single" w:color="auto" w:sz="4" w:space="0"/>
              <w:left w:val="single" w:color="auto" w:sz="4" w:space="0"/>
              <w:bottom w:val="single" w:color="auto" w:sz="4" w:space="0"/>
              <w:right w:val="nil"/>
            </w:tcBorders>
            <w:noWrap w:val="0"/>
            <w:vAlign w:val="center"/>
          </w:tcPr>
          <w:p w14:paraId="28A4E8D3">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r w14:paraId="276B6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58" w:type="dxa"/>
            <w:tcBorders>
              <w:top w:val="single" w:color="auto" w:sz="4" w:space="0"/>
              <w:left w:val="nil"/>
              <w:bottom w:val="single" w:color="auto" w:sz="4" w:space="0"/>
              <w:right w:val="single" w:color="auto" w:sz="4" w:space="0"/>
            </w:tcBorders>
            <w:shd w:val="clear" w:color="auto" w:fill="auto"/>
            <w:noWrap w:val="0"/>
            <w:vAlign w:val="center"/>
          </w:tcPr>
          <w:p w14:paraId="4C1C88C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合计</w:t>
            </w:r>
          </w:p>
        </w:tc>
        <w:tc>
          <w:tcPr>
            <w:tcW w:w="1979"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46204FE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1790" w:type="dxa"/>
            <w:tcBorders>
              <w:top w:val="single" w:color="auto" w:sz="4" w:space="0"/>
              <w:left w:val="single" w:color="000000" w:sz="4" w:space="0"/>
              <w:bottom w:val="single" w:color="auto" w:sz="4" w:space="0"/>
              <w:right w:val="single" w:color="auto" w:sz="4" w:space="0"/>
            </w:tcBorders>
            <w:noWrap w:val="0"/>
            <w:vAlign w:val="center"/>
          </w:tcPr>
          <w:p w14:paraId="6700394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400.00</w:t>
            </w:r>
          </w:p>
        </w:tc>
        <w:tc>
          <w:tcPr>
            <w:tcW w:w="2532" w:type="dxa"/>
            <w:tcBorders>
              <w:top w:val="single" w:color="auto" w:sz="4" w:space="0"/>
              <w:left w:val="single" w:color="auto" w:sz="4" w:space="0"/>
              <w:bottom w:val="single" w:color="auto" w:sz="4" w:space="0"/>
              <w:right w:val="nil"/>
            </w:tcBorders>
            <w:noWrap w:val="0"/>
            <w:vAlign w:val="center"/>
          </w:tcPr>
          <w:p w14:paraId="1CDCF97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400.00</w:t>
            </w:r>
          </w:p>
        </w:tc>
        <w:tc>
          <w:tcPr>
            <w:tcW w:w="1150" w:type="dxa"/>
            <w:tcBorders>
              <w:top w:val="single" w:color="auto" w:sz="4" w:space="0"/>
              <w:left w:val="single" w:color="auto" w:sz="4" w:space="0"/>
              <w:bottom w:val="single" w:color="auto" w:sz="4" w:space="0"/>
              <w:right w:val="nil"/>
            </w:tcBorders>
            <w:noWrap w:val="0"/>
            <w:vAlign w:val="center"/>
          </w:tcPr>
          <w:p w14:paraId="5CD8A78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662" w:type="dxa"/>
            <w:tcBorders>
              <w:top w:val="single" w:color="auto" w:sz="4" w:space="0"/>
              <w:left w:val="single" w:color="auto" w:sz="4" w:space="0"/>
              <w:bottom w:val="single" w:color="auto" w:sz="4" w:space="0"/>
              <w:right w:val="nil"/>
            </w:tcBorders>
            <w:noWrap w:val="0"/>
            <w:vAlign w:val="center"/>
          </w:tcPr>
          <w:p w14:paraId="6C6372A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r>
    </w:tbl>
    <w:p w14:paraId="7C9E089B">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四</w:t>
      </w:r>
      <w:r>
        <w:rPr>
          <w:rFonts w:hint="eastAsia" w:ascii="楷体" w:hAnsi="楷体" w:eastAsia="楷体" w:cs="楷体"/>
          <w:b/>
          <w:bCs/>
          <w:color w:val="auto"/>
          <w:sz w:val="32"/>
          <w:szCs w:val="32"/>
          <w:highlight w:val="none"/>
          <w:lang w:eastAsia="zh-CN"/>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lang w:eastAsia="zh-CN"/>
        </w:rPr>
        <w:t>执行情况</w:t>
      </w:r>
    </w:p>
    <w:p w14:paraId="439ECF77">
      <w:pPr>
        <w:keepNext w:val="0"/>
        <w:keepLines w:val="0"/>
        <w:pageBreakBefore w:val="0"/>
        <w:widowControl w:val="0"/>
        <w:kinsoku/>
        <w:wordWrap/>
        <w:overflowPunct/>
        <w:topLinePunct w:val="0"/>
        <w:autoSpaceDE/>
        <w:autoSpaceDN/>
        <w:bidi w:val="0"/>
        <w:adjustRightInd/>
        <w:snapToGrid/>
        <w:spacing w:line="560" w:lineRule="exact"/>
        <w:ind w:left="0" w:leftChars="0" w:firstLine="622" w:firstLineChars="200"/>
        <w:textAlignment w:val="auto"/>
        <w:rPr>
          <w:rFonts w:hint="eastAsia" w:ascii="仿宋_GB2312" w:hAnsi="仿宋_GB2312" w:eastAsia="仿宋_GB2312" w:cs="仿宋_GB2312"/>
          <w:spacing w:val="-6"/>
          <w:kern w:val="2"/>
          <w:sz w:val="32"/>
          <w:szCs w:val="32"/>
          <w:highlight w:val="none"/>
          <w:lang w:val="en-US" w:eastAsia="zh-CN" w:bidi="ar-SA"/>
        </w:rPr>
      </w:pPr>
      <w:r>
        <w:rPr>
          <w:rFonts w:hint="default" w:ascii="仿宋_GB2312" w:hAnsi="仿宋_GB2312" w:eastAsia="仿宋_GB2312" w:cs="仿宋_GB2312"/>
          <w:spacing w:val="-6"/>
          <w:kern w:val="2"/>
          <w:sz w:val="32"/>
          <w:szCs w:val="32"/>
          <w:highlight w:val="none"/>
          <w:lang w:val="en-US" w:eastAsia="zh-CN" w:bidi="ar-SA"/>
        </w:rPr>
        <w:t>截至</w:t>
      </w:r>
      <w:r>
        <w:rPr>
          <w:rFonts w:hint="eastAsia" w:ascii="仿宋_GB2312" w:hAnsi="仿宋_GB2312" w:eastAsia="仿宋_GB2312" w:cs="仿宋_GB2312"/>
          <w:spacing w:val="-6"/>
          <w:kern w:val="2"/>
          <w:sz w:val="32"/>
          <w:szCs w:val="32"/>
          <w:highlight w:val="none"/>
          <w:lang w:val="en-US" w:eastAsia="zh-CN" w:bidi="ar-SA"/>
        </w:rPr>
        <w:t>2025年5月底，项目共支出资金</w:t>
      </w:r>
      <w:r>
        <w:rPr>
          <w:rFonts w:hint="eastAsia" w:ascii="仿宋_GB2312" w:hAnsi="仿宋_GB2312" w:eastAsia="仿宋_GB2312" w:cs="仿宋_GB2312"/>
          <w:color w:val="auto"/>
          <w:kern w:val="2"/>
          <w:sz w:val="32"/>
          <w:szCs w:val="32"/>
          <w:highlight w:val="none"/>
          <w:lang w:val="en-US" w:eastAsia="zh-CN" w:bidi="ar-SA"/>
        </w:rPr>
        <w:t>4000,000.00元</w:t>
      </w:r>
      <w:r>
        <w:rPr>
          <w:rFonts w:hint="eastAsia" w:ascii="仿宋_GB2312" w:hAnsi="仿宋_GB2312" w:eastAsia="仿宋_GB2312" w:cs="仿宋_GB2312"/>
          <w:spacing w:val="-6"/>
          <w:kern w:val="2"/>
          <w:sz w:val="32"/>
          <w:szCs w:val="32"/>
          <w:highlight w:val="none"/>
          <w:lang w:val="en-US" w:eastAsia="zh-CN" w:bidi="ar-SA"/>
        </w:rPr>
        <w:t>,其中2024年支出212,116.46元，结转至2025年支出3,787,883.54元，预算资金执行率为100%。详见表3。</w:t>
      </w:r>
    </w:p>
    <w:p w14:paraId="4D1989AD">
      <w:pPr>
        <w:keepNext w:val="0"/>
        <w:keepLines w:val="0"/>
        <w:pageBreakBefore w:val="0"/>
        <w:widowControl w:val="0"/>
        <w:kinsoku/>
        <w:wordWrap/>
        <w:overflowPunct/>
        <w:topLinePunct w:val="0"/>
        <w:autoSpaceDE/>
        <w:autoSpaceDN/>
        <w:bidi w:val="0"/>
        <w:adjustRightInd/>
        <w:snapToGrid/>
        <w:spacing w:line="560" w:lineRule="exact"/>
        <w:ind w:firstLine="1415" w:firstLineChars="500"/>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表3-1   项目预算资金执行情况表   </w:t>
      </w:r>
      <w:r>
        <w:rPr>
          <w:rFonts w:hint="eastAsia" w:ascii="仿宋_GB2312" w:hAnsi="仿宋_GB2312" w:eastAsia="仿宋_GB2312" w:cs="仿宋_GB2312"/>
          <w:color w:val="auto"/>
          <w:sz w:val="21"/>
          <w:szCs w:val="21"/>
          <w:highlight w:val="none"/>
          <w:lang w:val="en-US" w:eastAsia="zh-CN"/>
        </w:rPr>
        <w:t>单位：万元</w:t>
      </w:r>
    </w:p>
    <w:tbl>
      <w:tblPr>
        <w:tblStyle w:val="16"/>
        <w:tblpPr w:leftFromText="181" w:rightFromText="181" w:vertAnchor="text" w:horzAnchor="page" w:tblpX="1667" w:tblpY="114"/>
        <w:tblOverlap w:val="never"/>
        <w:tblW w:w="87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710"/>
        <w:gridCol w:w="1690"/>
        <w:gridCol w:w="1740"/>
        <w:gridCol w:w="1330"/>
        <w:gridCol w:w="641"/>
      </w:tblGrid>
      <w:tr w14:paraId="6F34A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50" w:type="dxa"/>
            <w:tcBorders>
              <w:left w:val="nil"/>
              <w:bottom w:val="single" w:color="auto" w:sz="4" w:space="0"/>
              <w:right w:val="single" w:color="auto" w:sz="4" w:space="0"/>
            </w:tcBorders>
            <w:shd w:val="clear" w:color="auto" w:fill="D7D7D7"/>
            <w:noWrap w:val="0"/>
            <w:vAlign w:val="center"/>
          </w:tcPr>
          <w:p w14:paraId="3D128517">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序号</w:t>
            </w:r>
          </w:p>
        </w:tc>
        <w:tc>
          <w:tcPr>
            <w:tcW w:w="2710" w:type="dxa"/>
            <w:tcBorders>
              <w:left w:val="single" w:color="auto" w:sz="4" w:space="0"/>
              <w:bottom w:val="single" w:color="auto" w:sz="4" w:space="0"/>
              <w:right w:val="single" w:color="auto" w:sz="4" w:space="0"/>
            </w:tcBorders>
            <w:shd w:val="clear" w:color="auto" w:fill="D7D7D7"/>
            <w:noWrap w:val="0"/>
            <w:vAlign w:val="center"/>
          </w:tcPr>
          <w:p w14:paraId="631D7E4D">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项目名称</w:t>
            </w:r>
          </w:p>
        </w:tc>
        <w:tc>
          <w:tcPr>
            <w:tcW w:w="1690" w:type="dxa"/>
            <w:tcBorders>
              <w:left w:val="single" w:color="auto" w:sz="4" w:space="0"/>
              <w:bottom w:val="single" w:color="auto" w:sz="4" w:space="0"/>
              <w:right w:val="single" w:color="auto" w:sz="4" w:space="0"/>
            </w:tcBorders>
            <w:shd w:val="clear" w:color="auto" w:fill="D7D7D7"/>
            <w:noWrap w:val="0"/>
            <w:vAlign w:val="center"/>
          </w:tcPr>
          <w:p w14:paraId="76FCC76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预算到位金额</w:t>
            </w:r>
          </w:p>
        </w:tc>
        <w:tc>
          <w:tcPr>
            <w:tcW w:w="1740" w:type="dxa"/>
            <w:tcBorders>
              <w:left w:val="single" w:color="auto" w:sz="4" w:space="0"/>
              <w:bottom w:val="single" w:color="auto" w:sz="4" w:space="0"/>
              <w:right w:val="single" w:color="auto" w:sz="4" w:space="0"/>
            </w:tcBorders>
            <w:shd w:val="clear" w:color="auto" w:fill="D7D7D7"/>
            <w:noWrap w:val="0"/>
            <w:vAlign w:val="center"/>
          </w:tcPr>
          <w:p w14:paraId="6A321D99">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执行金额</w:t>
            </w:r>
          </w:p>
        </w:tc>
        <w:tc>
          <w:tcPr>
            <w:tcW w:w="1330" w:type="dxa"/>
            <w:tcBorders>
              <w:left w:val="single" w:color="000000" w:sz="4" w:space="0"/>
              <w:bottom w:val="single" w:color="auto" w:sz="4" w:space="0"/>
              <w:right w:val="single" w:color="auto" w:sz="4" w:space="0"/>
            </w:tcBorders>
            <w:shd w:val="clear" w:color="auto" w:fill="D7D7D7"/>
            <w:noWrap w:val="0"/>
            <w:vAlign w:val="center"/>
          </w:tcPr>
          <w:p w14:paraId="479811F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预算执行率</w:t>
            </w:r>
          </w:p>
        </w:tc>
        <w:tc>
          <w:tcPr>
            <w:tcW w:w="641" w:type="dxa"/>
            <w:tcBorders>
              <w:left w:val="single" w:color="auto" w:sz="4" w:space="0"/>
              <w:bottom w:val="single" w:color="auto" w:sz="4" w:space="0"/>
              <w:right w:val="nil"/>
            </w:tcBorders>
            <w:shd w:val="clear" w:color="auto" w:fill="D7D7D7"/>
            <w:noWrap w:val="0"/>
            <w:vAlign w:val="center"/>
          </w:tcPr>
          <w:p w14:paraId="1DD4F4C1">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备注</w:t>
            </w:r>
          </w:p>
        </w:tc>
      </w:tr>
      <w:tr w14:paraId="2AFB5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650" w:type="dxa"/>
            <w:tcBorders>
              <w:top w:val="single" w:color="auto" w:sz="4" w:space="0"/>
              <w:left w:val="nil"/>
              <w:bottom w:val="single" w:color="auto" w:sz="4" w:space="0"/>
              <w:right w:val="single" w:color="auto" w:sz="4" w:space="0"/>
            </w:tcBorders>
            <w:noWrap w:val="0"/>
            <w:vAlign w:val="center"/>
          </w:tcPr>
          <w:p w14:paraId="74E71594">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w:t>
            </w:r>
          </w:p>
        </w:tc>
        <w:tc>
          <w:tcPr>
            <w:tcW w:w="2710" w:type="dxa"/>
            <w:tcBorders>
              <w:top w:val="single" w:color="auto" w:sz="4" w:space="0"/>
              <w:left w:val="single" w:color="auto" w:sz="4" w:space="0"/>
              <w:right w:val="single" w:color="auto" w:sz="4" w:space="0"/>
            </w:tcBorders>
            <w:noWrap w:val="0"/>
            <w:vAlign w:val="center"/>
          </w:tcPr>
          <w:p w14:paraId="60C4701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绛帐镇迎宾路南段</w:t>
            </w:r>
          </w:p>
          <w:p w14:paraId="5F027EA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排水硬化工程</w:t>
            </w:r>
          </w:p>
        </w:tc>
        <w:tc>
          <w:tcPr>
            <w:tcW w:w="1690" w:type="dxa"/>
            <w:tcBorders>
              <w:top w:val="single" w:color="auto" w:sz="4" w:space="0"/>
              <w:left w:val="single" w:color="auto" w:sz="4" w:space="0"/>
              <w:bottom w:val="single" w:color="auto" w:sz="4" w:space="0"/>
              <w:right w:val="single" w:color="auto" w:sz="4" w:space="0"/>
            </w:tcBorders>
            <w:noWrap w:val="0"/>
            <w:vAlign w:val="center"/>
          </w:tcPr>
          <w:p w14:paraId="15AD5BE7">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400.00</w:t>
            </w:r>
          </w:p>
        </w:tc>
        <w:tc>
          <w:tcPr>
            <w:tcW w:w="1740" w:type="dxa"/>
            <w:tcBorders>
              <w:top w:val="single" w:color="auto" w:sz="4" w:space="0"/>
              <w:left w:val="single" w:color="auto" w:sz="4" w:space="0"/>
              <w:right w:val="single" w:color="auto" w:sz="4" w:space="0"/>
            </w:tcBorders>
            <w:noWrap w:val="0"/>
            <w:vAlign w:val="center"/>
          </w:tcPr>
          <w:p w14:paraId="79E29E8C">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400.00</w:t>
            </w:r>
          </w:p>
        </w:tc>
        <w:tc>
          <w:tcPr>
            <w:tcW w:w="1330" w:type="dxa"/>
            <w:tcBorders>
              <w:top w:val="single" w:color="auto" w:sz="4" w:space="0"/>
              <w:left w:val="single" w:color="000000" w:sz="4" w:space="0"/>
              <w:right w:val="single" w:color="auto" w:sz="4" w:space="0"/>
            </w:tcBorders>
            <w:noWrap w:val="0"/>
            <w:vAlign w:val="center"/>
          </w:tcPr>
          <w:p w14:paraId="25EC756D">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100%</w:t>
            </w:r>
          </w:p>
        </w:tc>
        <w:tc>
          <w:tcPr>
            <w:tcW w:w="641" w:type="dxa"/>
            <w:tcBorders>
              <w:top w:val="single" w:color="auto" w:sz="4" w:space="0"/>
              <w:left w:val="single" w:color="auto" w:sz="4" w:space="0"/>
              <w:right w:val="nil"/>
            </w:tcBorders>
            <w:noWrap w:val="0"/>
            <w:vAlign w:val="center"/>
          </w:tcPr>
          <w:p w14:paraId="214935D6">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r w14:paraId="7E399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50" w:type="dxa"/>
            <w:tcBorders>
              <w:top w:val="single" w:color="auto" w:sz="4" w:space="0"/>
              <w:left w:val="nil"/>
              <w:bottom w:val="single" w:color="auto" w:sz="4" w:space="0"/>
              <w:right w:val="single" w:color="auto" w:sz="4" w:space="0"/>
            </w:tcBorders>
            <w:noWrap w:val="0"/>
            <w:vAlign w:val="center"/>
          </w:tcPr>
          <w:p w14:paraId="022286E9">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c>
          <w:tcPr>
            <w:tcW w:w="2710" w:type="dxa"/>
            <w:tcBorders>
              <w:left w:val="single" w:color="auto" w:sz="4" w:space="0"/>
              <w:bottom w:val="single" w:color="auto" w:sz="4" w:space="0"/>
              <w:right w:val="single" w:color="auto" w:sz="4" w:space="0"/>
            </w:tcBorders>
            <w:noWrap w:val="0"/>
            <w:vAlign w:val="center"/>
          </w:tcPr>
          <w:p w14:paraId="58B0BCE9">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合计</w:t>
            </w:r>
          </w:p>
        </w:tc>
        <w:tc>
          <w:tcPr>
            <w:tcW w:w="1690" w:type="dxa"/>
            <w:tcBorders>
              <w:top w:val="single" w:color="auto" w:sz="4" w:space="0"/>
              <w:left w:val="single" w:color="auto" w:sz="4" w:space="0"/>
              <w:bottom w:val="single" w:color="auto" w:sz="4" w:space="0"/>
              <w:right w:val="single" w:color="auto" w:sz="4" w:space="0"/>
            </w:tcBorders>
            <w:noWrap w:val="0"/>
            <w:vAlign w:val="center"/>
          </w:tcPr>
          <w:p w14:paraId="5BDE16B2">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400.00</w:t>
            </w:r>
          </w:p>
        </w:tc>
        <w:tc>
          <w:tcPr>
            <w:tcW w:w="1740" w:type="dxa"/>
            <w:tcBorders>
              <w:left w:val="single" w:color="auto" w:sz="4" w:space="0"/>
              <w:bottom w:val="single" w:color="auto" w:sz="4" w:space="0"/>
              <w:right w:val="single" w:color="auto" w:sz="4" w:space="0"/>
            </w:tcBorders>
            <w:noWrap w:val="0"/>
            <w:vAlign w:val="center"/>
          </w:tcPr>
          <w:p w14:paraId="6197EAE6">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400.00</w:t>
            </w:r>
          </w:p>
        </w:tc>
        <w:tc>
          <w:tcPr>
            <w:tcW w:w="1330" w:type="dxa"/>
            <w:tcBorders>
              <w:left w:val="single" w:color="000000" w:sz="4" w:space="0"/>
              <w:bottom w:val="single" w:color="auto" w:sz="4" w:space="0"/>
              <w:right w:val="single" w:color="auto" w:sz="4" w:space="0"/>
            </w:tcBorders>
            <w:noWrap w:val="0"/>
            <w:vAlign w:val="center"/>
          </w:tcPr>
          <w:p w14:paraId="75ED20D4">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100%</w:t>
            </w:r>
          </w:p>
        </w:tc>
        <w:tc>
          <w:tcPr>
            <w:tcW w:w="641" w:type="dxa"/>
            <w:tcBorders>
              <w:left w:val="single" w:color="auto" w:sz="4" w:space="0"/>
              <w:right w:val="nil"/>
            </w:tcBorders>
            <w:noWrap w:val="0"/>
            <w:vAlign w:val="center"/>
          </w:tcPr>
          <w:p w14:paraId="0126D928">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bl>
    <w:p w14:paraId="1B529B3A">
      <w:pPr>
        <w:keepNext w:val="0"/>
        <w:keepLines w:val="0"/>
        <w:pageBreakBefore w:val="0"/>
        <w:widowControl w:val="0"/>
        <w:kinsoku/>
        <w:wordWrap/>
        <w:overflowPunct/>
        <w:topLinePunct w:val="0"/>
        <w:autoSpaceDE/>
        <w:autoSpaceDN/>
        <w:bidi w:val="0"/>
        <w:adjustRightInd/>
        <w:snapToGrid/>
        <w:spacing w:line="560" w:lineRule="exact"/>
        <w:textAlignment w:val="auto"/>
      </w:pPr>
    </w:p>
    <w:p w14:paraId="33BCD140">
      <w:pPr>
        <w:keepNext w:val="0"/>
        <w:keepLines w:val="0"/>
        <w:pageBreakBefore w:val="0"/>
        <w:widowControl w:val="0"/>
        <w:kinsoku/>
        <w:wordWrap/>
        <w:overflowPunct/>
        <w:topLinePunct w:val="0"/>
        <w:autoSpaceDE/>
        <w:autoSpaceDN/>
        <w:bidi w:val="0"/>
        <w:adjustRightInd/>
        <w:snapToGrid/>
        <w:spacing w:line="560" w:lineRule="exact"/>
        <w:textAlignment w:val="auto"/>
      </w:pPr>
    </w:p>
    <w:p w14:paraId="3FCB62C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表3-2   项目预算资金执行情况明细表     </w:t>
      </w:r>
      <w:r>
        <w:rPr>
          <w:rFonts w:hint="eastAsia" w:ascii="仿宋_GB2312" w:hAnsi="仿宋_GB2312" w:eastAsia="仿宋_GB2312" w:cs="仿宋_GB2312"/>
          <w:b/>
          <w:bCs/>
          <w:color w:val="auto"/>
          <w:sz w:val="21"/>
          <w:szCs w:val="21"/>
          <w:highlight w:val="none"/>
          <w:lang w:val="en-US" w:eastAsia="zh-CN"/>
        </w:rPr>
        <w:t>单位：元</w:t>
      </w:r>
    </w:p>
    <w:tbl>
      <w:tblPr>
        <w:tblStyle w:val="15"/>
        <w:tblW w:w="8870" w:type="dxa"/>
        <w:tblInd w:w="-14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6"/>
        <w:gridCol w:w="2614"/>
        <w:gridCol w:w="1440"/>
        <w:gridCol w:w="1540"/>
        <w:gridCol w:w="1260"/>
        <w:gridCol w:w="1330"/>
      </w:tblGrid>
      <w:tr w14:paraId="06DD7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686" w:type="dxa"/>
            <w:tcBorders>
              <w:top w:val="single" w:color="000000" w:sz="4" w:space="0"/>
              <w:left w:val="nil"/>
              <w:bottom w:val="single" w:color="000000" w:sz="4" w:space="0"/>
              <w:right w:val="single" w:color="000000" w:sz="4" w:space="0"/>
            </w:tcBorders>
            <w:shd w:val="clear" w:color="auto" w:fill="D7D7D7" w:themeFill="background1" w:themeFillShade="D8"/>
            <w:vAlign w:val="center"/>
          </w:tcPr>
          <w:p w14:paraId="15E2E6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序号</w:t>
            </w:r>
          </w:p>
        </w:tc>
        <w:tc>
          <w:tcPr>
            <w:tcW w:w="2614" w:type="dxa"/>
            <w:tcBorders>
              <w:top w:val="single" w:color="000000" w:sz="4" w:space="0"/>
              <w:left w:val="single" w:color="000000" w:sz="4" w:space="0"/>
              <w:bottom w:val="single" w:color="000000" w:sz="4" w:space="0"/>
              <w:right w:val="single" w:color="auto" w:sz="4" w:space="0"/>
            </w:tcBorders>
            <w:shd w:val="clear" w:color="auto" w:fill="D7D7D7" w:themeFill="background1" w:themeFillShade="D8"/>
            <w:vAlign w:val="center"/>
          </w:tcPr>
          <w:p w14:paraId="227CAD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rPr>
            </w:pPr>
            <w:r>
              <w:rPr>
                <w:rFonts w:hint="eastAsia" w:ascii="仿宋_GB2312" w:hAnsi="仿宋_GB2312" w:eastAsia="仿宋_GB2312" w:cs="仿宋_GB2312"/>
                <w:b/>
                <w:bCs/>
                <w:i w:val="0"/>
                <w:iCs w:val="0"/>
                <w:color w:val="000000"/>
                <w:kern w:val="0"/>
                <w:sz w:val="18"/>
                <w:szCs w:val="18"/>
                <w:u w:val="none"/>
                <w:lang w:val="en-US" w:eastAsia="zh-CN" w:bidi="ar"/>
              </w:rPr>
              <w:t>收款单位</w:t>
            </w:r>
          </w:p>
        </w:tc>
        <w:tc>
          <w:tcPr>
            <w:tcW w:w="1440" w:type="dxa"/>
            <w:tcBorders>
              <w:top w:val="single" w:color="000000" w:sz="4" w:space="0"/>
              <w:left w:val="single" w:color="auto" w:sz="4" w:space="0"/>
              <w:bottom w:val="single" w:color="000000" w:sz="4" w:space="0"/>
              <w:right w:val="single" w:color="000000" w:sz="4" w:space="0"/>
            </w:tcBorders>
            <w:shd w:val="clear" w:color="auto" w:fill="D7D7D7" w:themeFill="background1" w:themeFillShade="D8"/>
            <w:vAlign w:val="center"/>
          </w:tcPr>
          <w:p w14:paraId="64A0E5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rPr>
            </w:pPr>
            <w:r>
              <w:rPr>
                <w:rFonts w:hint="eastAsia" w:ascii="仿宋_GB2312" w:hAnsi="仿宋_GB2312" w:eastAsia="仿宋_GB2312" w:cs="仿宋_GB2312"/>
                <w:b/>
                <w:bCs/>
                <w:i w:val="0"/>
                <w:iCs w:val="0"/>
                <w:color w:val="000000"/>
                <w:kern w:val="0"/>
                <w:sz w:val="18"/>
                <w:szCs w:val="18"/>
                <w:u w:val="none"/>
                <w:lang w:val="en-US" w:eastAsia="zh-CN" w:bidi="ar"/>
              </w:rPr>
              <w:t>支出摘要</w:t>
            </w:r>
          </w:p>
        </w:tc>
        <w:tc>
          <w:tcPr>
            <w:tcW w:w="154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12606B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已付金额</w:t>
            </w:r>
          </w:p>
        </w:tc>
        <w:tc>
          <w:tcPr>
            <w:tcW w:w="126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16ABB5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支付时间</w:t>
            </w:r>
          </w:p>
        </w:tc>
        <w:tc>
          <w:tcPr>
            <w:tcW w:w="1330" w:type="dxa"/>
            <w:tcBorders>
              <w:top w:val="single" w:color="000000" w:sz="4" w:space="0"/>
              <w:left w:val="single" w:color="000000" w:sz="4" w:space="0"/>
              <w:bottom w:val="single" w:color="000000" w:sz="4" w:space="0"/>
              <w:right w:val="nil"/>
            </w:tcBorders>
            <w:shd w:val="clear" w:color="auto" w:fill="D7D7D7" w:themeFill="background1" w:themeFillShade="D8"/>
            <w:vAlign w:val="center"/>
          </w:tcPr>
          <w:p w14:paraId="3CE321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备注</w:t>
            </w:r>
          </w:p>
        </w:tc>
      </w:tr>
      <w:tr w14:paraId="6B463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686" w:type="dxa"/>
            <w:tcBorders>
              <w:top w:val="single" w:color="000000" w:sz="4" w:space="0"/>
              <w:left w:val="nil"/>
              <w:bottom w:val="single" w:color="000000" w:sz="4" w:space="0"/>
              <w:right w:val="single" w:color="000000" w:sz="4" w:space="0"/>
            </w:tcBorders>
            <w:shd w:val="clear" w:color="auto" w:fill="auto"/>
            <w:vAlign w:val="center"/>
          </w:tcPr>
          <w:p w14:paraId="7B710B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w:t>
            </w: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BF6BAD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E28C4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工程款</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0B83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 xml:space="preserve">90,000.00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899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2024.11.20</w:t>
            </w:r>
          </w:p>
        </w:tc>
        <w:tc>
          <w:tcPr>
            <w:tcW w:w="1330" w:type="dxa"/>
            <w:vMerge w:val="restart"/>
            <w:tcBorders>
              <w:top w:val="single" w:color="000000" w:sz="4" w:space="0"/>
              <w:left w:val="single" w:color="000000" w:sz="4" w:space="0"/>
              <w:bottom w:val="single" w:color="000000" w:sz="4" w:space="0"/>
              <w:right w:val="nil"/>
            </w:tcBorders>
            <w:shd w:val="clear" w:color="auto" w:fill="auto"/>
            <w:vAlign w:val="center"/>
          </w:tcPr>
          <w:p w14:paraId="1325608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2024年支付</w:t>
            </w:r>
          </w:p>
        </w:tc>
      </w:tr>
      <w:tr w14:paraId="47EF8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686" w:type="dxa"/>
            <w:tcBorders>
              <w:top w:val="single" w:color="000000" w:sz="4" w:space="0"/>
              <w:left w:val="nil"/>
              <w:bottom w:val="single" w:color="000000" w:sz="4" w:space="0"/>
              <w:right w:val="single" w:color="000000" w:sz="4" w:space="0"/>
            </w:tcBorders>
            <w:shd w:val="clear" w:color="auto" w:fill="auto"/>
            <w:vAlign w:val="center"/>
          </w:tcPr>
          <w:p w14:paraId="3637E1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2</w:t>
            </w: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27FB5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75C7F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工程款</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5CCF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90,000.00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E15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2024.11.20</w:t>
            </w:r>
          </w:p>
        </w:tc>
        <w:tc>
          <w:tcPr>
            <w:tcW w:w="1330" w:type="dxa"/>
            <w:vMerge w:val="continue"/>
            <w:tcBorders>
              <w:top w:val="single" w:color="000000" w:sz="4" w:space="0"/>
              <w:left w:val="single" w:color="000000" w:sz="4" w:space="0"/>
              <w:bottom w:val="single" w:color="000000" w:sz="4" w:space="0"/>
              <w:right w:val="nil"/>
            </w:tcBorders>
            <w:shd w:val="clear" w:color="auto" w:fill="auto"/>
            <w:vAlign w:val="center"/>
          </w:tcPr>
          <w:p w14:paraId="2B0ADA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1B4E0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trPr>
        <w:tc>
          <w:tcPr>
            <w:tcW w:w="686" w:type="dxa"/>
            <w:tcBorders>
              <w:top w:val="single" w:color="000000" w:sz="4" w:space="0"/>
              <w:left w:val="nil"/>
              <w:bottom w:val="single" w:color="000000" w:sz="4" w:space="0"/>
              <w:right w:val="single" w:color="000000" w:sz="4" w:space="0"/>
            </w:tcBorders>
            <w:shd w:val="clear" w:color="auto" w:fill="auto"/>
            <w:vAlign w:val="center"/>
          </w:tcPr>
          <w:p w14:paraId="0656A35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3</w:t>
            </w: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94B9B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A13252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工程款</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702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32,116.46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C4B3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2024.11.20</w:t>
            </w:r>
          </w:p>
        </w:tc>
        <w:tc>
          <w:tcPr>
            <w:tcW w:w="1330" w:type="dxa"/>
            <w:vMerge w:val="continue"/>
            <w:tcBorders>
              <w:top w:val="single" w:color="000000" w:sz="4" w:space="0"/>
              <w:left w:val="single" w:color="000000" w:sz="4" w:space="0"/>
              <w:bottom w:val="single" w:color="000000" w:sz="4" w:space="0"/>
              <w:right w:val="nil"/>
            </w:tcBorders>
            <w:shd w:val="clear" w:color="auto" w:fill="auto"/>
            <w:vAlign w:val="center"/>
          </w:tcPr>
          <w:p w14:paraId="6789296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52A2F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686" w:type="dxa"/>
            <w:tcBorders>
              <w:top w:val="single" w:color="000000" w:sz="4" w:space="0"/>
              <w:left w:val="nil"/>
              <w:bottom w:val="single" w:color="000000" w:sz="4" w:space="0"/>
              <w:right w:val="single" w:color="000000" w:sz="4" w:space="0"/>
            </w:tcBorders>
            <w:shd w:val="clear" w:color="auto" w:fill="auto"/>
            <w:noWrap/>
            <w:vAlign w:val="center"/>
          </w:tcPr>
          <w:p w14:paraId="302F1DE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E0AF6B6">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小计</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EA2DE69">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rPr>
            </w:pP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93FC5">
            <w:pPr>
              <w:keepNext w:val="0"/>
              <w:keepLines w:val="0"/>
              <w:pageBreakBefore w:val="0"/>
              <w:widowControl/>
              <w:kinsoku/>
              <w:wordWrap/>
              <w:overflowPunct/>
              <w:topLinePunct w:val="0"/>
              <w:autoSpaceDE/>
              <w:autoSpaceDN/>
              <w:bidi w:val="0"/>
              <w:adjustRightInd/>
              <w:snapToGrid/>
              <w:spacing w:line="260" w:lineRule="exact"/>
              <w:jc w:val="center"/>
              <w:rPr>
                <w:rFonts w:hint="default" w:ascii="仿宋_GB2312" w:hAnsi="仿宋_GB2312" w:eastAsia="仿宋_GB2312" w:cs="仿宋_GB2312"/>
                <w:b/>
                <w:bCs/>
                <w:i w:val="0"/>
                <w:iCs w:val="0"/>
                <w:color w:val="000000"/>
                <w:sz w:val="18"/>
                <w:szCs w:val="18"/>
                <w:u w:val="none"/>
                <w:lang w:val="en-US"/>
              </w:rPr>
            </w:pPr>
            <w:r>
              <w:rPr>
                <w:rFonts w:hint="eastAsia" w:ascii="仿宋_GB2312" w:hAnsi="仿宋_GB2312" w:eastAsia="仿宋_GB2312" w:cs="仿宋_GB2312"/>
                <w:b/>
                <w:bCs/>
                <w:i w:val="0"/>
                <w:iCs w:val="0"/>
                <w:color w:val="000000"/>
                <w:kern w:val="0"/>
                <w:sz w:val="18"/>
                <w:szCs w:val="18"/>
                <w:u w:val="none"/>
                <w:lang w:val="en-US" w:eastAsia="zh-CN" w:bidi="ar"/>
              </w:rPr>
              <w:t>212,116.46</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6D88B">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c>
          <w:tcPr>
            <w:tcW w:w="1330" w:type="dxa"/>
            <w:tcBorders>
              <w:top w:val="single" w:color="000000" w:sz="4" w:space="0"/>
              <w:left w:val="single" w:color="000000" w:sz="4" w:space="0"/>
              <w:bottom w:val="single" w:color="000000" w:sz="4" w:space="0"/>
              <w:right w:val="nil"/>
            </w:tcBorders>
            <w:shd w:val="clear" w:color="auto" w:fill="auto"/>
            <w:noWrap/>
            <w:vAlign w:val="center"/>
          </w:tcPr>
          <w:p w14:paraId="486F0C9C">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r>
      <w:tr w14:paraId="41AA6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686" w:type="dxa"/>
            <w:tcBorders>
              <w:top w:val="single" w:color="000000" w:sz="4" w:space="0"/>
              <w:left w:val="nil"/>
              <w:bottom w:val="single" w:color="000000" w:sz="4" w:space="0"/>
              <w:right w:val="single" w:color="000000" w:sz="4" w:space="0"/>
            </w:tcBorders>
            <w:shd w:val="clear" w:color="auto" w:fill="auto"/>
            <w:noWrap/>
            <w:vAlign w:val="center"/>
          </w:tcPr>
          <w:p w14:paraId="7609707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w:t>
            </w: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49ECA62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4BE925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sz w:val="18"/>
                <w:szCs w:val="18"/>
                <w:u w:val="none"/>
                <w:lang w:val="en-US" w:eastAsia="zh-CN"/>
              </w:rPr>
              <w:t>工程款</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273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 xml:space="preserve">950,000.00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52BE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kern w:val="0"/>
                <w:sz w:val="18"/>
                <w:szCs w:val="18"/>
                <w:u w:val="none"/>
                <w:lang w:val="en-US" w:eastAsia="zh-CN" w:bidi="ar"/>
              </w:rPr>
              <w:t>2025.1.27</w:t>
            </w:r>
          </w:p>
        </w:tc>
        <w:tc>
          <w:tcPr>
            <w:tcW w:w="1330" w:type="dxa"/>
            <w:vMerge w:val="restart"/>
            <w:tcBorders>
              <w:top w:val="single" w:color="000000" w:sz="4" w:space="0"/>
              <w:left w:val="single" w:color="000000" w:sz="4" w:space="0"/>
              <w:bottom w:val="single" w:color="000000" w:sz="4" w:space="0"/>
              <w:right w:val="nil"/>
            </w:tcBorders>
            <w:shd w:val="clear" w:color="auto" w:fill="auto"/>
            <w:noWrap/>
            <w:vAlign w:val="center"/>
          </w:tcPr>
          <w:p w14:paraId="4E1E95F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kern w:val="0"/>
                <w:sz w:val="18"/>
                <w:szCs w:val="18"/>
                <w:u w:val="none"/>
                <w:lang w:val="en-US" w:eastAsia="zh-CN" w:bidi="ar"/>
              </w:rPr>
              <w:t>2025年支付</w:t>
            </w:r>
          </w:p>
        </w:tc>
      </w:tr>
      <w:tr w14:paraId="7E7A9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686" w:type="dxa"/>
            <w:tcBorders>
              <w:top w:val="single" w:color="000000" w:sz="4" w:space="0"/>
              <w:left w:val="nil"/>
              <w:bottom w:val="single" w:color="000000" w:sz="4" w:space="0"/>
              <w:right w:val="single" w:color="000000" w:sz="4" w:space="0"/>
            </w:tcBorders>
            <w:shd w:val="clear" w:color="auto" w:fill="auto"/>
            <w:noWrap/>
            <w:vAlign w:val="center"/>
          </w:tcPr>
          <w:p w14:paraId="489C7CD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2</w:t>
            </w: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99D97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85C848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sz w:val="18"/>
                <w:szCs w:val="18"/>
                <w:u w:val="none"/>
                <w:lang w:val="en-US" w:eastAsia="zh-CN"/>
              </w:rPr>
              <w:t>工程款</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F0FA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 xml:space="preserve">220,000.00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D710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kern w:val="0"/>
                <w:sz w:val="18"/>
                <w:szCs w:val="18"/>
                <w:u w:val="none"/>
                <w:lang w:val="en-US" w:eastAsia="zh-CN" w:bidi="ar"/>
              </w:rPr>
              <w:t>2025.3.19</w:t>
            </w:r>
          </w:p>
        </w:tc>
        <w:tc>
          <w:tcPr>
            <w:tcW w:w="1330" w:type="dxa"/>
            <w:vMerge w:val="continue"/>
            <w:tcBorders>
              <w:top w:val="single" w:color="000000" w:sz="4" w:space="0"/>
              <w:left w:val="single" w:color="000000" w:sz="4" w:space="0"/>
              <w:bottom w:val="single" w:color="000000" w:sz="4" w:space="0"/>
              <w:right w:val="nil"/>
            </w:tcBorders>
            <w:shd w:val="clear" w:color="auto" w:fill="auto"/>
            <w:noWrap/>
            <w:vAlign w:val="center"/>
          </w:tcPr>
          <w:p w14:paraId="3D257B95">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r>
      <w:tr w14:paraId="21EEE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686" w:type="dxa"/>
            <w:tcBorders>
              <w:top w:val="single" w:color="000000" w:sz="4" w:space="0"/>
              <w:left w:val="nil"/>
              <w:bottom w:val="single" w:color="000000" w:sz="4" w:space="0"/>
              <w:right w:val="single" w:color="000000" w:sz="4" w:space="0"/>
            </w:tcBorders>
            <w:shd w:val="clear" w:color="auto" w:fill="auto"/>
            <w:noWrap/>
            <w:vAlign w:val="center"/>
          </w:tcPr>
          <w:p w14:paraId="0DA1DB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3</w:t>
            </w: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05B2F3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742730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sz w:val="18"/>
                <w:szCs w:val="18"/>
                <w:u w:val="none"/>
                <w:lang w:val="en-US" w:eastAsia="zh-CN"/>
              </w:rPr>
              <w:t>工程款</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8683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 xml:space="preserve">457,883.54 </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86ED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2025.3.19</w:t>
            </w:r>
          </w:p>
        </w:tc>
        <w:tc>
          <w:tcPr>
            <w:tcW w:w="1330" w:type="dxa"/>
            <w:vMerge w:val="continue"/>
            <w:tcBorders>
              <w:top w:val="single" w:color="000000" w:sz="4" w:space="0"/>
              <w:left w:val="single" w:color="000000" w:sz="4" w:space="0"/>
              <w:bottom w:val="single" w:color="000000" w:sz="4" w:space="0"/>
              <w:right w:val="nil"/>
            </w:tcBorders>
            <w:shd w:val="clear" w:color="auto" w:fill="auto"/>
            <w:noWrap/>
            <w:vAlign w:val="center"/>
          </w:tcPr>
          <w:p w14:paraId="24D4AB72">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r>
      <w:tr w14:paraId="2E732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686" w:type="dxa"/>
            <w:tcBorders>
              <w:top w:val="single" w:color="000000" w:sz="4" w:space="0"/>
              <w:left w:val="nil"/>
              <w:bottom w:val="single" w:color="000000" w:sz="4" w:space="0"/>
              <w:right w:val="single" w:color="000000" w:sz="4" w:space="0"/>
            </w:tcBorders>
            <w:shd w:val="clear" w:color="auto" w:fill="auto"/>
            <w:noWrap/>
            <w:vAlign w:val="center"/>
          </w:tcPr>
          <w:p w14:paraId="76E52BE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4</w:t>
            </w: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8D0BD1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E2D7DE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sz w:val="18"/>
                <w:szCs w:val="18"/>
                <w:u w:val="none"/>
                <w:lang w:val="en-US" w:eastAsia="zh-CN"/>
              </w:rPr>
              <w:t>工程款</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834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 xml:space="preserve">1,000,000.00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1664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2025.3.19</w:t>
            </w:r>
          </w:p>
        </w:tc>
        <w:tc>
          <w:tcPr>
            <w:tcW w:w="1330" w:type="dxa"/>
            <w:vMerge w:val="continue"/>
            <w:tcBorders>
              <w:top w:val="single" w:color="000000" w:sz="4" w:space="0"/>
              <w:left w:val="single" w:color="000000" w:sz="4" w:space="0"/>
              <w:bottom w:val="single" w:color="000000" w:sz="4" w:space="0"/>
              <w:right w:val="nil"/>
            </w:tcBorders>
            <w:shd w:val="clear" w:color="auto" w:fill="auto"/>
            <w:noWrap/>
            <w:vAlign w:val="center"/>
          </w:tcPr>
          <w:p w14:paraId="429A9385">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r>
      <w:tr w14:paraId="2536A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686" w:type="dxa"/>
            <w:tcBorders>
              <w:top w:val="single" w:color="000000" w:sz="4" w:space="0"/>
              <w:left w:val="nil"/>
              <w:bottom w:val="single" w:color="000000" w:sz="4" w:space="0"/>
              <w:right w:val="single" w:color="000000" w:sz="4" w:space="0"/>
            </w:tcBorders>
            <w:shd w:val="clear" w:color="auto" w:fill="auto"/>
            <w:noWrap/>
            <w:vAlign w:val="center"/>
          </w:tcPr>
          <w:p w14:paraId="28956D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5</w:t>
            </w: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48CB9BF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E9D6F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sz w:val="18"/>
                <w:szCs w:val="18"/>
                <w:u w:val="none"/>
                <w:lang w:val="en-US" w:eastAsia="zh-CN"/>
              </w:rPr>
              <w:t>工程款</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C29F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 xml:space="preserve">1,160,000.00 </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CB3A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2025.3.19</w:t>
            </w:r>
          </w:p>
        </w:tc>
        <w:tc>
          <w:tcPr>
            <w:tcW w:w="1330" w:type="dxa"/>
            <w:vMerge w:val="continue"/>
            <w:tcBorders>
              <w:top w:val="single" w:color="000000" w:sz="4" w:space="0"/>
              <w:left w:val="single" w:color="000000" w:sz="4" w:space="0"/>
              <w:bottom w:val="single" w:color="000000" w:sz="4" w:space="0"/>
              <w:right w:val="nil"/>
            </w:tcBorders>
            <w:shd w:val="clear" w:color="auto" w:fill="auto"/>
            <w:noWrap/>
            <w:vAlign w:val="center"/>
          </w:tcPr>
          <w:p w14:paraId="27935619">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r>
      <w:tr w14:paraId="76886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trPr>
        <w:tc>
          <w:tcPr>
            <w:tcW w:w="686" w:type="dxa"/>
            <w:tcBorders>
              <w:top w:val="single" w:color="000000" w:sz="4" w:space="0"/>
              <w:left w:val="nil"/>
              <w:bottom w:val="single" w:color="000000" w:sz="4" w:space="0"/>
              <w:right w:val="single" w:color="000000" w:sz="4" w:space="0"/>
            </w:tcBorders>
            <w:shd w:val="clear" w:color="auto" w:fill="auto"/>
            <w:noWrap/>
            <w:vAlign w:val="center"/>
          </w:tcPr>
          <w:p w14:paraId="721145D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sz w:val="18"/>
                <w:szCs w:val="18"/>
                <w:u w:val="none"/>
                <w:lang w:val="en-US" w:eastAsia="zh-CN"/>
              </w:rPr>
            </w:pP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54CAE34">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小计</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6923D64">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rPr>
            </w:pP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1E338">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3,787,883.54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7ED9">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c>
          <w:tcPr>
            <w:tcW w:w="1330" w:type="dxa"/>
            <w:tcBorders>
              <w:top w:val="single" w:color="000000" w:sz="4" w:space="0"/>
              <w:left w:val="single" w:color="000000" w:sz="4" w:space="0"/>
              <w:bottom w:val="single" w:color="000000" w:sz="4" w:space="0"/>
              <w:right w:val="nil"/>
            </w:tcBorders>
            <w:shd w:val="clear" w:color="auto" w:fill="auto"/>
            <w:noWrap/>
            <w:vAlign w:val="center"/>
          </w:tcPr>
          <w:p w14:paraId="4E4EE478">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r>
      <w:tr w14:paraId="6D897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trPr>
        <w:tc>
          <w:tcPr>
            <w:tcW w:w="686" w:type="dxa"/>
            <w:tcBorders>
              <w:top w:val="single" w:color="000000" w:sz="4" w:space="0"/>
              <w:left w:val="nil"/>
              <w:bottom w:val="single" w:color="000000" w:sz="4" w:space="0"/>
              <w:right w:val="single" w:color="000000" w:sz="4" w:space="0"/>
            </w:tcBorders>
            <w:shd w:val="clear" w:color="auto" w:fill="auto"/>
            <w:noWrap/>
            <w:vAlign w:val="center"/>
          </w:tcPr>
          <w:p w14:paraId="1E1D12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sz w:val="18"/>
                <w:szCs w:val="18"/>
                <w:u w:val="none"/>
                <w:lang w:val="en-US" w:eastAsia="zh-CN"/>
              </w:rPr>
            </w:pPr>
          </w:p>
        </w:tc>
        <w:tc>
          <w:tcPr>
            <w:tcW w:w="2614"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A5AD56D">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合计</w:t>
            </w:r>
          </w:p>
        </w:tc>
        <w:tc>
          <w:tcPr>
            <w:tcW w:w="14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5E56E67">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rPr>
            </w:pP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B6DF5">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4,000,000.00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71DBC">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c>
          <w:tcPr>
            <w:tcW w:w="1330" w:type="dxa"/>
            <w:tcBorders>
              <w:top w:val="single" w:color="000000" w:sz="4" w:space="0"/>
              <w:left w:val="single" w:color="000000" w:sz="4" w:space="0"/>
              <w:bottom w:val="single" w:color="000000" w:sz="4" w:space="0"/>
              <w:right w:val="nil"/>
            </w:tcBorders>
            <w:shd w:val="clear" w:color="auto" w:fill="auto"/>
            <w:noWrap/>
            <w:vAlign w:val="center"/>
          </w:tcPr>
          <w:p w14:paraId="5AD6BAE0">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r>
    </w:tbl>
    <w:p w14:paraId="504A875A">
      <w:pPr>
        <w:keepNext w:val="0"/>
        <w:keepLines w:val="0"/>
        <w:pageBreakBefore w:val="0"/>
        <w:widowControl w:val="0"/>
        <w:kinsoku/>
        <w:wordWrap/>
        <w:overflowPunct/>
        <w:topLinePunct w:val="0"/>
        <w:autoSpaceDE/>
        <w:autoSpaceDN/>
        <w:bidi w:val="0"/>
        <w:adjustRightInd/>
        <w:snapToGrid/>
        <w:spacing w:line="560" w:lineRule="exact"/>
        <w:ind w:firstLine="1698" w:firstLineChars="600"/>
        <w:textAlignment w:val="auto"/>
        <w:rPr>
          <w:rFonts w:hint="default" w:ascii="仿宋_GB2312" w:hAnsi="仿宋_GB2312" w:eastAsia="仿宋_GB2312" w:cs="仿宋_GB2312"/>
          <w:b/>
          <w:bCs/>
          <w:kern w:val="2"/>
          <w:sz w:val="21"/>
          <w:szCs w:val="21"/>
          <w:highlight w:val="none"/>
          <w:lang w:val="en-US" w:eastAsia="zh-CN" w:bidi="ar-SA"/>
        </w:rPr>
      </w:pPr>
      <w:r>
        <w:rPr>
          <w:rFonts w:hint="eastAsia" w:ascii="仿宋_GB2312" w:hAnsi="仿宋_GB2312" w:eastAsia="仿宋_GB2312" w:cs="仿宋_GB2312"/>
          <w:b/>
          <w:bCs/>
          <w:kern w:val="2"/>
          <w:sz w:val="28"/>
          <w:szCs w:val="28"/>
          <w:highlight w:val="none"/>
          <w:lang w:val="en-US" w:eastAsia="zh-CN" w:bidi="ar-SA"/>
        </w:rPr>
        <w:t xml:space="preserve">表3-3    项目合同资金执行明细表      </w:t>
      </w:r>
      <w:r>
        <w:rPr>
          <w:rFonts w:hint="eastAsia" w:ascii="仿宋_GB2312" w:hAnsi="仿宋_GB2312" w:eastAsia="仿宋_GB2312" w:cs="仿宋_GB2312"/>
          <w:b/>
          <w:bCs/>
          <w:kern w:val="2"/>
          <w:sz w:val="21"/>
          <w:szCs w:val="21"/>
          <w:highlight w:val="none"/>
          <w:lang w:val="en-US" w:eastAsia="zh-CN" w:bidi="ar-SA"/>
        </w:rPr>
        <w:t xml:space="preserve">单位：元 </w:t>
      </w:r>
    </w:p>
    <w:tbl>
      <w:tblPr>
        <w:tblStyle w:val="16"/>
        <w:tblW w:w="8860"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2572"/>
        <w:gridCol w:w="1440"/>
        <w:gridCol w:w="1560"/>
        <w:gridCol w:w="1212"/>
        <w:gridCol w:w="1386"/>
      </w:tblGrid>
      <w:tr w14:paraId="5C1DA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90" w:type="dxa"/>
            <w:tcBorders>
              <w:left w:val="nil"/>
            </w:tcBorders>
            <w:shd w:val="clear" w:color="auto" w:fill="D7D7D7"/>
            <w:noWrap w:val="0"/>
            <w:vAlign w:val="center"/>
          </w:tcPr>
          <w:p w14:paraId="1F3F40B3">
            <w:pPr>
              <w:pStyle w:val="3"/>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序号</w:t>
            </w:r>
          </w:p>
        </w:tc>
        <w:tc>
          <w:tcPr>
            <w:tcW w:w="2572" w:type="dxa"/>
            <w:shd w:val="clear" w:color="auto" w:fill="D7D7D7"/>
            <w:noWrap w:val="0"/>
            <w:vAlign w:val="center"/>
          </w:tcPr>
          <w:p w14:paraId="34B143A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收款单位</w:t>
            </w:r>
          </w:p>
        </w:tc>
        <w:tc>
          <w:tcPr>
            <w:tcW w:w="1440" w:type="dxa"/>
            <w:shd w:val="clear" w:color="auto" w:fill="D7D7D7"/>
            <w:noWrap w:val="0"/>
            <w:vAlign w:val="center"/>
          </w:tcPr>
          <w:p w14:paraId="744C5791">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合同金额</w:t>
            </w:r>
          </w:p>
        </w:tc>
        <w:tc>
          <w:tcPr>
            <w:tcW w:w="1560" w:type="dxa"/>
            <w:shd w:val="clear" w:color="auto" w:fill="D7D7D7"/>
            <w:noWrap w:val="0"/>
            <w:vAlign w:val="center"/>
          </w:tcPr>
          <w:p w14:paraId="4C47FC2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已支付金额</w:t>
            </w:r>
          </w:p>
        </w:tc>
        <w:tc>
          <w:tcPr>
            <w:tcW w:w="1212" w:type="dxa"/>
            <w:shd w:val="clear" w:color="auto" w:fill="D7D7D7"/>
            <w:noWrap w:val="0"/>
            <w:vAlign w:val="center"/>
          </w:tcPr>
          <w:p w14:paraId="52AF7C62">
            <w:pPr>
              <w:pStyle w:val="3"/>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审定金额</w:t>
            </w:r>
          </w:p>
        </w:tc>
        <w:tc>
          <w:tcPr>
            <w:tcW w:w="1386" w:type="dxa"/>
            <w:tcBorders>
              <w:right w:val="nil"/>
            </w:tcBorders>
            <w:shd w:val="clear" w:color="auto" w:fill="D7D7D7"/>
            <w:noWrap w:val="0"/>
            <w:vAlign w:val="center"/>
          </w:tcPr>
          <w:p w14:paraId="52DA2A47">
            <w:pPr>
              <w:pStyle w:val="3"/>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合同资金</w:t>
            </w:r>
          </w:p>
          <w:p w14:paraId="2F5A5235">
            <w:pPr>
              <w:pStyle w:val="3"/>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执行率（%）</w:t>
            </w:r>
          </w:p>
        </w:tc>
      </w:tr>
      <w:tr w14:paraId="5FDCC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690" w:type="dxa"/>
            <w:tcBorders>
              <w:left w:val="nil"/>
            </w:tcBorders>
            <w:noWrap w:val="0"/>
            <w:vAlign w:val="center"/>
          </w:tcPr>
          <w:p w14:paraId="219748F8">
            <w:pPr>
              <w:keepNext w:val="0"/>
              <w:keepLines w:val="0"/>
              <w:widowControl/>
              <w:suppressLineNumbers w:val="0"/>
              <w:jc w:val="center"/>
              <w:textAlignment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2572" w:type="dxa"/>
            <w:noWrap w:val="0"/>
            <w:vAlign w:val="center"/>
          </w:tcPr>
          <w:p w14:paraId="134CE3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_GB2312" w:hAnsi="仿宋_GB2312" w:eastAsia="仿宋_GB2312" w:cs="仿宋_GB2312"/>
                <w:i w:val="0"/>
                <w:iCs w:val="0"/>
                <w:color w:val="000000"/>
                <w:sz w:val="18"/>
                <w:szCs w:val="18"/>
                <w:u w:val="none"/>
                <w:lang w:val="en-US" w:eastAsia="zh-CN"/>
              </w:rPr>
              <w:t>陕西中成建设工程有限公司</w:t>
            </w:r>
          </w:p>
        </w:tc>
        <w:tc>
          <w:tcPr>
            <w:tcW w:w="1440" w:type="dxa"/>
            <w:noWrap w:val="0"/>
            <w:vAlign w:val="center"/>
          </w:tcPr>
          <w:p w14:paraId="1145E761">
            <w:pPr>
              <w:keepNext w:val="0"/>
              <w:keepLines w:val="0"/>
              <w:widowControl/>
              <w:suppressLineNumbers w:val="0"/>
              <w:jc w:val="center"/>
              <w:textAlignment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_GB2312" w:hAnsi="仿宋_GB2312" w:eastAsia="仿宋_GB2312" w:cs="仿宋_GB2312"/>
                <w:i w:val="0"/>
                <w:iCs w:val="0"/>
                <w:color w:val="000000"/>
                <w:sz w:val="18"/>
                <w:szCs w:val="18"/>
                <w:u w:val="none"/>
                <w:lang w:val="en-US" w:eastAsia="zh-CN"/>
              </w:rPr>
              <w:t>6,349,920.06</w:t>
            </w:r>
          </w:p>
        </w:tc>
        <w:tc>
          <w:tcPr>
            <w:tcW w:w="1560" w:type="dxa"/>
            <w:noWrap w:val="0"/>
            <w:vAlign w:val="center"/>
          </w:tcPr>
          <w:p w14:paraId="67DF21CF">
            <w:pPr>
              <w:keepNext w:val="0"/>
              <w:keepLines w:val="0"/>
              <w:widowControl/>
              <w:suppressLineNumbers w:val="0"/>
              <w:jc w:val="center"/>
              <w:textAlignment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_GB2312" w:hAnsi="仿宋_GB2312" w:eastAsia="仿宋_GB2312" w:cs="仿宋_GB2312"/>
                <w:i w:val="0"/>
                <w:iCs w:val="0"/>
                <w:color w:val="000000"/>
                <w:sz w:val="18"/>
                <w:szCs w:val="18"/>
                <w:u w:val="none"/>
                <w:lang w:val="en-US" w:eastAsia="zh-CN"/>
              </w:rPr>
              <w:t>4,000,000.00</w:t>
            </w:r>
          </w:p>
        </w:tc>
        <w:tc>
          <w:tcPr>
            <w:tcW w:w="1212" w:type="dxa"/>
            <w:noWrap w:val="0"/>
            <w:vAlign w:val="center"/>
          </w:tcPr>
          <w:p w14:paraId="4FAC7029">
            <w:pPr>
              <w:keepNext w:val="0"/>
              <w:keepLines w:val="0"/>
              <w:widowControl/>
              <w:suppressLineNumbers w:val="0"/>
              <w:jc w:val="center"/>
              <w:textAlignment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_GB2312" w:hAnsi="仿宋_GB2312" w:eastAsia="仿宋_GB2312" w:cs="仿宋_GB2312"/>
                <w:i w:val="0"/>
                <w:iCs w:val="0"/>
                <w:color w:val="000000"/>
                <w:sz w:val="18"/>
                <w:szCs w:val="18"/>
                <w:u w:val="none"/>
                <w:lang w:val="en-US" w:eastAsia="zh-CN"/>
              </w:rPr>
              <w:t>未审计</w:t>
            </w:r>
          </w:p>
        </w:tc>
        <w:tc>
          <w:tcPr>
            <w:tcW w:w="1386" w:type="dxa"/>
            <w:tcBorders>
              <w:right w:val="nil"/>
            </w:tcBorders>
            <w:noWrap w:val="0"/>
            <w:vAlign w:val="center"/>
          </w:tcPr>
          <w:p w14:paraId="43329BCC">
            <w:pPr>
              <w:keepNext w:val="0"/>
              <w:keepLines w:val="0"/>
              <w:widowControl/>
              <w:suppressLineNumbers w:val="0"/>
              <w:jc w:val="center"/>
              <w:textAlignment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_GB2312" w:hAnsi="仿宋_GB2312" w:eastAsia="仿宋_GB2312" w:cs="仿宋_GB2312"/>
                <w:i w:val="0"/>
                <w:iCs w:val="0"/>
                <w:color w:val="000000"/>
                <w:sz w:val="18"/>
                <w:szCs w:val="18"/>
                <w:u w:val="none"/>
                <w:lang w:val="en-US" w:eastAsia="zh-CN"/>
              </w:rPr>
              <w:t>62.99%</w:t>
            </w:r>
          </w:p>
        </w:tc>
      </w:tr>
      <w:tr w14:paraId="4C6DD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690" w:type="dxa"/>
            <w:tcBorders>
              <w:left w:val="nil"/>
            </w:tcBorders>
            <w:noWrap w:val="0"/>
            <w:vAlign w:val="center"/>
          </w:tcPr>
          <w:p w14:paraId="687384B4">
            <w:pPr>
              <w:keepNext w:val="0"/>
              <w:keepLines w:val="0"/>
              <w:widowControl/>
              <w:suppressLineNumbers w:val="0"/>
              <w:jc w:val="center"/>
              <w:textAlignment w:val="center"/>
              <w:rPr>
                <w:rFonts w:hint="eastAsia" w:ascii="仿宋" w:hAnsi="仿宋" w:eastAsia="仿宋" w:cs="仿宋"/>
                <w:b/>
                <w:bCs/>
                <w:i w:val="0"/>
                <w:iCs w:val="0"/>
                <w:color w:val="000000"/>
                <w:kern w:val="2"/>
                <w:sz w:val="21"/>
                <w:szCs w:val="21"/>
                <w:u w:val="none"/>
                <w:lang w:val="en-US" w:eastAsia="zh-CN" w:bidi="ar-SA"/>
              </w:rPr>
            </w:pPr>
          </w:p>
        </w:tc>
        <w:tc>
          <w:tcPr>
            <w:tcW w:w="2572" w:type="dxa"/>
            <w:noWrap w:val="0"/>
            <w:vAlign w:val="center"/>
          </w:tcPr>
          <w:p w14:paraId="0E69E217">
            <w:pPr>
              <w:keepNext w:val="0"/>
              <w:keepLines w:val="0"/>
              <w:widowControl/>
              <w:suppressLineNumbers w:val="0"/>
              <w:jc w:val="center"/>
              <w:textAlignment w:val="center"/>
              <w:rPr>
                <w:rFonts w:hint="eastAsia" w:ascii="仿宋" w:hAnsi="仿宋" w:eastAsia="仿宋" w:cs="仿宋"/>
                <w:b/>
                <w:bCs/>
                <w:sz w:val="21"/>
                <w:szCs w:val="21"/>
                <w:highlight w:val="none"/>
                <w:vertAlign w:val="baseline"/>
                <w:lang w:val="en-US" w:eastAsia="zh-CN"/>
              </w:rPr>
            </w:pPr>
            <w:r>
              <w:rPr>
                <w:rFonts w:hint="eastAsia" w:ascii="仿宋" w:hAnsi="仿宋" w:eastAsia="仿宋" w:cs="仿宋"/>
                <w:b/>
                <w:bCs/>
                <w:i w:val="0"/>
                <w:iCs w:val="0"/>
                <w:color w:val="000000"/>
                <w:kern w:val="0"/>
                <w:sz w:val="21"/>
                <w:szCs w:val="21"/>
                <w:u w:val="none"/>
                <w:lang w:val="en-US" w:eastAsia="zh-CN" w:bidi="ar"/>
              </w:rPr>
              <w:t>合计</w:t>
            </w:r>
          </w:p>
        </w:tc>
        <w:tc>
          <w:tcPr>
            <w:tcW w:w="1440" w:type="dxa"/>
            <w:noWrap w:val="0"/>
            <w:vAlign w:val="center"/>
          </w:tcPr>
          <w:p w14:paraId="0254CB6F">
            <w:pPr>
              <w:keepNext w:val="0"/>
              <w:keepLines w:val="0"/>
              <w:widowControl/>
              <w:suppressLineNumbers w:val="0"/>
              <w:jc w:val="center"/>
              <w:textAlignment w:val="center"/>
              <w:rPr>
                <w:rFonts w:hint="eastAsia" w:ascii="仿宋" w:hAnsi="仿宋" w:eastAsia="仿宋" w:cs="仿宋"/>
                <w:b/>
                <w:bCs/>
                <w:sz w:val="21"/>
                <w:szCs w:val="21"/>
                <w:highlight w:val="none"/>
                <w:vertAlign w:val="baseline"/>
                <w:lang w:val="en-US" w:eastAsia="zh-CN"/>
              </w:rPr>
            </w:pPr>
            <w:r>
              <w:rPr>
                <w:rFonts w:hint="eastAsia" w:ascii="仿宋_GB2312" w:hAnsi="仿宋_GB2312" w:eastAsia="仿宋_GB2312" w:cs="仿宋_GB2312"/>
                <w:b/>
                <w:bCs/>
                <w:i w:val="0"/>
                <w:iCs w:val="0"/>
                <w:color w:val="000000"/>
                <w:sz w:val="18"/>
                <w:szCs w:val="18"/>
                <w:u w:val="none"/>
                <w:lang w:val="en-US" w:eastAsia="zh-CN"/>
              </w:rPr>
              <w:t>6,349,920.06</w:t>
            </w:r>
          </w:p>
        </w:tc>
        <w:tc>
          <w:tcPr>
            <w:tcW w:w="1560" w:type="dxa"/>
            <w:noWrap w:val="0"/>
            <w:vAlign w:val="center"/>
          </w:tcPr>
          <w:p w14:paraId="76E38B72">
            <w:pPr>
              <w:keepNext w:val="0"/>
              <w:keepLines w:val="0"/>
              <w:widowControl/>
              <w:suppressLineNumbers w:val="0"/>
              <w:jc w:val="center"/>
              <w:textAlignment w:val="center"/>
              <w:rPr>
                <w:rFonts w:hint="eastAsia" w:ascii="仿宋" w:hAnsi="仿宋" w:eastAsia="仿宋" w:cs="仿宋"/>
                <w:b/>
                <w:bCs/>
                <w:sz w:val="21"/>
                <w:szCs w:val="21"/>
                <w:highlight w:val="none"/>
                <w:vertAlign w:val="baseline"/>
                <w:lang w:val="en-US" w:eastAsia="zh-CN"/>
              </w:rPr>
            </w:pPr>
            <w:r>
              <w:rPr>
                <w:rFonts w:hint="eastAsia" w:ascii="仿宋_GB2312" w:hAnsi="仿宋_GB2312" w:eastAsia="仿宋_GB2312" w:cs="仿宋_GB2312"/>
                <w:b/>
                <w:bCs/>
                <w:i w:val="0"/>
                <w:iCs w:val="0"/>
                <w:color w:val="000000"/>
                <w:sz w:val="18"/>
                <w:szCs w:val="18"/>
                <w:u w:val="none"/>
                <w:lang w:val="en-US" w:eastAsia="zh-CN"/>
              </w:rPr>
              <w:t>4,000,000.00</w:t>
            </w:r>
          </w:p>
        </w:tc>
        <w:tc>
          <w:tcPr>
            <w:tcW w:w="1212" w:type="dxa"/>
            <w:noWrap w:val="0"/>
            <w:vAlign w:val="center"/>
          </w:tcPr>
          <w:p w14:paraId="3ACF7918">
            <w:pPr>
              <w:keepNext w:val="0"/>
              <w:keepLines w:val="0"/>
              <w:widowControl/>
              <w:suppressLineNumbers w:val="0"/>
              <w:jc w:val="center"/>
              <w:textAlignment w:val="center"/>
              <w:rPr>
                <w:rFonts w:hint="eastAsia" w:ascii="仿宋" w:hAnsi="仿宋" w:eastAsia="仿宋" w:cs="仿宋"/>
                <w:b/>
                <w:bCs/>
                <w:sz w:val="21"/>
                <w:szCs w:val="21"/>
                <w:highlight w:val="none"/>
                <w:vertAlign w:val="baseline"/>
                <w:lang w:val="en-US" w:eastAsia="zh-CN"/>
              </w:rPr>
            </w:pPr>
            <w:r>
              <w:rPr>
                <w:rFonts w:hint="eastAsia" w:ascii="仿宋_GB2312" w:hAnsi="仿宋_GB2312" w:eastAsia="仿宋_GB2312" w:cs="仿宋_GB2312"/>
                <w:b/>
                <w:bCs/>
                <w:i w:val="0"/>
                <w:iCs w:val="0"/>
                <w:color w:val="000000"/>
                <w:sz w:val="18"/>
                <w:szCs w:val="18"/>
                <w:u w:val="none"/>
                <w:lang w:val="en-US" w:eastAsia="zh-CN"/>
              </w:rPr>
              <w:t>未审计</w:t>
            </w:r>
          </w:p>
        </w:tc>
        <w:tc>
          <w:tcPr>
            <w:tcW w:w="1386" w:type="dxa"/>
            <w:tcBorders>
              <w:right w:val="nil"/>
            </w:tcBorders>
            <w:noWrap w:val="0"/>
            <w:vAlign w:val="center"/>
          </w:tcPr>
          <w:p w14:paraId="07B5DD5D">
            <w:pPr>
              <w:keepNext w:val="0"/>
              <w:keepLines w:val="0"/>
              <w:widowControl/>
              <w:suppressLineNumbers w:val="0"/>
              <w:jc w:val="center"/>
              <w:textAlignment w:val="center"/>
              <w:rPr>
                <w:rFonts w:hint="eastAsia" w:ascii="仿宋" w:hAnsi="仿宋" w:eastAsia="仿宋" w:cs="仿宋"/>
                <w:b/>
                <w:bCs/>
                <w:sz w:val="21"/>
                <w:szCs w:val="21"/>
                <w:highlight w:val="none"/>
                <w:vertAlign w:val="baseline"/>
                <w:lang w:val="en-US" w:eastAsia="zh-CN"/>
              </w:rPr>
            </w:pPr>
            <w:r>
              <w:rPr>
                <w:rFonts w:hint="eastAsia" w:ascii="仿宋_GB2312" w:hAnsi="仿宋_GB2312" w:eastAsia="仿宋_GB2312" w:cs="仿宋_GB2312"/>
                <w:b/>
                <w:bCs/>
                <w:i w:val="0"/>
                <w:iCs w:val="0"/>
                <w:color w:val="000000"/>
                <w:sz w:val="18"/>
                <w:szCs w:val="18"/>
                <w:u w:val="none"/>
                <w:lang w:val="en-US" w:eastAsia="zh-CN"/>
              </w:rPr>
              <w:t>62.99%</w:t>
            </w:r>
          </w:p>
        </w:tc>
      </w:tr>
    </w:tbl>
    <w:p w14:paraId="2FA36A47">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（五）项目实施情况</w:t>
      </w:r>
    </w:p>
    <w:p w14:paraId="046B73F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1.工程前期立项及批复</w:t>
      </w:r>
    </w:p>
    <w:p w14:paraId="6E395EB8">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2023年8月以来，项目实施单位进行了可研编制、工程设计、社会稳定风险评估、工程用地预审与选址意见报批、勘察等工作；</w:t>
      </w:r>
    </w:p>
    <w:p w14:paraId="72F68E7C">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2024年1月25日，扶风县发展和改革局以《关于绛帐镇迎宾路南段排水硬化工程项目建议书的批复》（扶发改发〔2024〕12）文件批准了项目立项，批复了项目名称、建设单位、建设内容、建设期限等内容；</w:t>
      </w:r>
    </w:p>
    <w:p w14:paraId="527EC6E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rPr>
        <w:t>2024年3月26日，经县政府2024年第五次常务会议研究通过予以立项。</w:t>
      </w:r>
    </w:p>
    <w:p w14:paraId="1AD2C412">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2.项目招投标及合同签订情况</w:t>
      </w:r>
    </w:p>
    <w:p w14:paraId="0E6F2D7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7月，宝鸡天正项目管理咨询有限公司承担该项目的招标事宜，2024年8月6日确定中标单位为陕西中成建设工程有限公司，中标价6,349,920.06元。由大诺建筑集团有限公司负责监理工作。项目合同签订情况详见表4。</w:t>
      </w:r>
    </w:p>
    <w:p w14:paraId="02FE04E9">
      <w:pPr>
        <w:keepNext w:val="0"/>
        <w:keepLines w:val="0"/>
        <w:pageBreakBefore w:val="0"/>
        <w:widowControl w:val="0"/>
        <w:kinsoku/>
        <w:wordWrap/>
        <w:overflowPunct/>
        <w:topLinePunct w:val="0"/>
        <w:autoSpaceDE/>
        <w:autoSpaceDN/>
        <w:bidi w:val="0"/>
        <w:adjustRightInd/>
        <w:snapToGrid/>
        <w:spacing w:line="560" w:lineRule="exact"/>
        <w:ind w:firstLine="1698" w:firstLineChars="600"/>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表4   </w:t>
      </w:r>
      <w:bookmarkStart w:id="2" w:name="OLE_LINK2"/>
      <w:r>
        <w:rPr>
          <w:rFonts w:hint="eastAsia" w:ascii="仿宋_GB2312" w:hAnsi="仿宋_GB2312" w:eastAsia="仿宋_GB2312" w:cs="仿宋_GB2312"/>
          <w:b/>
          <w:bCs/>
          <w:kern w:val="2"/>
          <w:sz w:val="28"/>
          <w:szCs w:val="28"/>
          <w:highlight w:val="none"/>
          <w:lang w:val="en-US" w:eastAsia="zh-CN" w:bidi="ar-SA"/>
        </w:rPr>
        <w:t>项目招投标及合同签订情况表</w:t>
      </w:r>
      <w:bookmarkEnd w:id="2"/>
      <w:r>
        <w:rPr>
          <w:rFonts w:hint="eastAsia" w:ascii="仿宋_GB2312" w:hAnsi="仿宋_GB2312" w:eastAsia="仿宋_GB2312" w:cs="仿宋_GB2312"/>
          <w:b/>
          <w:bCs/>
          <w:kern w:val="2"/>
          <w:sz w:val="28"/>
          <w:szCs w:val="28"/>
          <w:highlight w:val="none"/>
          <w:lang w:val="en-US" w:eastAsia="zh-CN" w:bidi="ar-SA"/>
        </w:rPr>
        <w:t xml:space="preserve">         </w:t>
      </w:r>
      <w:r>
        <w:rPr>
          <w:rFonts w:hint="eastAsia" w:ascii="仿宋_GB2312" w:hAnsi="仿宋_GB2312" w:eastAsia="仿宋_GB2312" w:cs="仿宋_GB2312"/>
          <w:b/>
          <w:bCs/>
          <w:color w:val="auto"/>
          <w:sz w:val="21"/>
          <w:szCs w:val="21"/>
          <w:highlight w:val="none"/>
          <w:lang w:val="en-US" w:eastAsia="zh-CN"/>
        </w:rPr>
        <w:t>单位：元</w:t>
      </w:r>
    </w:p>
    <w:tbl>
      <w:tblPr>
        <w:tblStyle w:val="15"/>
        <w:tblW w:w="8722" w:type="dxa"/>
        <w:tblInd w:w="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4"/>
        <w:gridCol w:w="3195"/>
        <w:gridCol w:w="1340"/>
        <w:gridCol w:w="1330"/>
        <w:gridCol w:w="1016"/>
        <w:gridCol w:w="1177"/>
      </w:tblGrid>
      <w:tr w14:paraId="4F299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664" w:type="dxa"/>
            <w:tcBorders>
              <w:top w:val="single" w:color="000000" w:sz="4" w:space="0"/>
              <w:left w:val="nil"/>
              <w:bottom w:val="single" w:color="000000" w:sz="4" w:space="0"/>
              <w:right w:val="single" w:color="000000" w:sz="4" w:space="0"/>
            </w:tcBorders>
            <w:shd w:val="clear" w:color="auto" w:fill="D7D7D7" w:themeFill="background1" w:themeFillShade="D8"/>
            <w:vAlign w:val="center"/>
          </w:tcPr>
          <w:p w14:paraId="1F9EA3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序号</w:t>
            </w:r>
          </w:p>
        </w:tc>
        <w:tc>
          <w:tcPr>
            <w:tcW w:w="3195" w:type="dxa"/>
            <w:tcBorders>
              <w:top w:val="single" w:color="000000" w:sz="4" w:space="0"/>
              <w:left w:val="single" w:color="000000" w:sz="4" w:space="0"/>
              <w:bottom w:val="single" w:color="000000" w:sz="4" w:space="0"/>
              <w:right w:val="single" w:color="auto" w:sz="4" w:space="0"/>
            </w:tcBorders>
            <w:shd w:val="clear" w:color="auto" w:fill="D7D7D7" w:themeFill="background1" w:themeFillShade="D8"/>
            <w:vAlign w:val="center"/>
          </w:tcPr>
          <w:p w14:paraId="04D0D7A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执行内容</w:t>
            </w:r>
          </w:p>
        </w:tc>
        <w:tc>
          <w:tcPr>
            <w:tcW w:w="1340" w:type="dxa"/>
            <w:tcBorders>
              <w:top w:val="single" w:color="000000" w:sz="4" w:space="0"/>
              <w:left w:val="single" w:color="auto" w:sz="4" w:space="0"/>
              <w:bottom w:val="single" w:color="000000" w:sz="4" w:space="0"/>
              <w:right w:val="single" w:color="000000" w:sz="4" w:space="0"/>
            </w:tcBorders>
            <w:shd w:val="clear" w:color="auto" w:fill="D7D7D7" w:themeFill="background1" w:themeFillShade="D8"/>
            <w:vAlign w:val="center"/>
          </w:tcPr>
          <w:p w14:paraId="1C2D4C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rPr>
            </w:pPr>
            <w:r>
              <w:rPr>
                <w:rFonts w:hint="eastAsia" w:ascii="仿宋_GB2312" w:hAnsi="仿宋_GB2312" w:eastAsia="仿宋_GB2312" w:cs="仿宋_GB2312"/>
                <w:b/>
                <w:bCs/>
                <w:i w:val="0"/>
                <w:iCs w:val="0"/>
                <w:color w:val="000000"/>
                <w:kern w:val="0"/>
                <w:sz w:val="18"/>
                <w:szCs w:val="18"/>
                <w:u w:val="none"/>
                <w:lang w:val="en-US" w:eastAsia="zh-CN" w:bidi="ar"/>
              </w:rPr>
              <w:t>实施内容</w:t>
            </w:r>
          </w:p>
        </w:tc>
        <w:tc>
          <w:tcPr>
            <w:tcW w:w="133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53B119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中标合同价</w:t>
            </w:r>
          </w:p>
        </w:tc>
        <w:tc>
          <w:tcPr>
            <w:tcW w:w="101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56DB05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中标日期</w:t>
            </w:r>
          </w:p>
        </w:tc>
        <w:tc>
          <w:tcPr>
            <w:tcW w:w="1177" w:type="dxa"/>
            <w:tcBorders>
              <w:top w:val="single" w:color="000000" w:sz="4" w:space="0"/>
              <w:left w:val="single" w:color="000000" w:sz="4" w:space="0"/>
              <w:bottom w:val="single" w:color="000000" w:sz="4" w:space="0"/>
              <w:right w:val="nil"/>
            </w:tcBorders>
            <w:shd w:val="clear" w:color="auto" w:fill="D7D7D7" w:themeFill="background1" w:themeFillShade="D8"/>
            <w:vAlign w:val="center"/>
          </w:tcPr>
          <w:p w14:paraId="5AB35F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合同日期</w:t>
            </w:r>
          </w:p>
        </w:tc>
      </w:tr>
      <w:tr w14:paraId="2AE7C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664" w:type="dxa"/>
            <w:tcBorders>
              <w:top w:val="single" w:color="000000" w:sz="4" w:space="0"/>
              <w:left w:val="nil"/>
              <w:bottom w:val="single" w:color="000000" w:sz="4" w:space="0"/>
              <w:right w:val="single" w:color="000000" w:sz="4" w:space="0"/>
            </w:tcBorders>
            <w:shd w:val="clear" w:color="auto" w:fill="auto"/>
            <w:vAlign w:val="center"/>
          </w:tcPr>
          <w:p w14:paraId="012B6E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kern w:val="2"/>
                <w:sz w:val="18"/>
                <w:szCs w:val="18"/>
                <w:u w:val="none"/>
                <w:lang w:val="en-US" w:eastAsia="zh-CN" w:bidi="ar-SA"/>
              </w:rPr>
            </w:pPr>
            <w:r>
              <w:rPr>
                <w:rFonts w:hint="eastAsia" w:ascii="仿宋_GB2312" w:hAnsi="仿宋_GB2312" w:eastAsia="仿宋_GB2312" w:cs="仿宋_GB2312"/>
                <w:b/>
                <w:bCs/>
                <w:i w:val="0"/>
                <w:iCs w:val="0"/>
                <w:color w:val="000000"/>
                <w:kern w:val="2"/>
                <w:sz w:val="18"/>
                <w:szCs w:val="18"/>
                <w:u w:val="none"/>
                <w:lang w:val="en-US" w:eastAsia="zh-CN" w:bidi="ar-SA"/>
              </w:rPr>
              <w:t>一</w:t>
            </w:r>
          </w:p>
        </w:tc>
        <w:tc>
          <w:tcPr>
            <w:tcW w:w="319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E32666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kern w:val="2"/>
                <w:sz w:val="18"/>
                <w:szCs w:val="18"/>
                <w:u w:val="none"/>
                <w:lang w:val="en-US" w:eastAsia="zh-CN" w:bidi="ar-SA"/>
              </w:rPr>
            </w:pPr>
            <w:r>
              <w:rPr>
                <w:rFonts w:hint="eastAsia" w:ascii="仿宋_GB2312" w:hAnsi="仿宋_GB2312" w:eastAsia="仿宋_GB2312" w:cs="仿宋_GB2312"/>
                <w:b/>
                <w:bCs/>
                <w:i w:val="0"/>
                <w:iCs w:val="0"/>
                <w:color w:val="000000"/>
                <w:kern w:val="2"/>
                <w:sz w:val="18"/>
                <w:szCs w:val="18"/>
                <w:u w:val="none"/>
                <w:lang w:val="en-US" w:eastAsia="zh-CN" w:bidi="ar-SA"/>
              </w:rPr>
              <w:t>工程建设费</w:t>
            </w:r>
          </w:p>
        </w:tc>
        <w:tc>
          <w:tcPr>
            <w:tcW w:w="13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D1CC7B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kern w:val="2"/>
                <w:sz w:val="18"/>
                <w:szCs w:val="18"/>
                <w:u w:val="none"/>
                <w:lang w:val="en-US" w:eastAsia="zh-CN" w:bidi="ar-SA"/>
              </w:rPr>
            </w:pP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CC4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kern w:val="2"/>
                <w:sz w:val="18"/>
                <w:szCs w:val="18"/>
                <w:u w:val="none"/>
                <w:lang w:val="en-US" w:eastAsia="zh-CN" w:bidi="ar-SA"/>
              </w:rPr>
            </w:pPr>
            <w:r>
              <w:rPr>
                <w:rFonts w:hint="eastAsia" w:ascii="仿宋_GB2312" w:hAnsi="仿宋_GB2312" w:eastAsia="仿宋_GB2312" w:cs="仿宋_GB2312"/>
                <w:b/>
                <w:bCs/>
                <w:i w:val="0"/>
                <w:iCs w:val="0"/>
                <w:color w:val="000000"/>
                <w:kern w:val="2"/>
                <w:sz w:val="18"/>
                <w:szCs w:val="18"/>
                <w:u w:val="none"/>
                <w:lang w:val="en-US" w:eastAsia="zh-CN" w:bidi="ar-SA"/>
              </w:rPr>
              <w:t>6,349,920.06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2157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1177" w:type="dxa"/>
            <w:tcBorders>
              <w:top w:val="single" w:color="000000" w:sz="4" w:space="0"/>
              <w:left w:val="single" w:color="000000" w:sz="4" w:space="0"/>
              <w:bottom w:val="single" w:color="000000" w:sz="4" w:space="0"/>
              <w:right w:val="nil"/>
            </w:tcBorders>
            <w:shd w:val="clear" w:color="auto" w:fill="auto"/>
            <w:vAlign w:val="center"/>
          </w:tcPr>
          <w:p w14:paraId="165C2D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46089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0" w:hRule="atLeast"/>
        </w:trPr>
        <w:tc>
          <w:tcPr>
            <w:tcW w:w="664" w:type="dxa"/>
            <w:tcBorders>
              <w:top w:val="single" w:color="000000" w:sz="4" w:space="0"/>
              <w:left w:val="nil"/>
              <w:bottom w:val="single" w:color="000000" w:sz="4" w:space="0"/>
              <w:right w:val="single" w:color="000000" w:sz="4" w:space="0"/>
            </w:tcBorders>
            <w:shd w:val="clear" w:color="auto" w:fill="auto"/>
            <w:vAlign w:val="center"/>
          </w:tcPr>
          <w:p w14:paraId="58F649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2"/>
                <w:sz w:val="18"/>
                <w:szCs w:val="18"/>
                <w:u w:val="none"/>
                <w:lang w:val="en-US" w:eastAsia="zh-CN" w:bidi="ar-SA"/>
              </w:rPr>
              <w:t>1.1</w:t>
            </w:r>
          </w:p>
        </w:tc>
        <w:tc>
          <w:tcPr>
            <w:tcW w:w="319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7878F1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陕西中成建设工程有限公司</w:t>
            </w:r>
          </w:p>
        </w:tc>
        <w:tc>
          <w:tcPr>
            <w:tcW w:w="13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33FC2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sz w:val="18"/>
                <w:szCs w:val="18"/>
                <w:u w:val="none"/>
                <w:lang w:val="en-US" w:eastAsia="zh-CN"/>
              </w:rPr>
              <w:t>施工</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1DF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2"/>
                <w:sz w:val="18"/>
                <w:szCs w:val="18"/>
                <w:u w:val="none"/>
                <w:lang w:val="en-US" w:eastAsia="zh-CN" w:bidi="ar-SA"/>
              </w:rPr>
              <w:t>6,349,920.06</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9769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2024.8.6</w:t>
            </w:r>
          </w:p>
        </w:tc>
        <w:tc>
          <w:tcPr>
            <w:tcW w:w="1177" w:type="dxa"/>
            <w:tcBorders>
              <w:top w:val="single" w:color="000000" w:sz="4" w:space="0"/>
              <w:left w:val="single" w:color="000000" w:sz="4" w:space="0"/>
              <w:bottom w:val="single" w:color="000000" w:sz="4" w:space="0"/>
              <w:right w:val="nil"/>
            </w:tcBorders>
            <w:shd w:val="clear" w:color="auto" w:fill="auto"/>
            <w:vAlign w:val="center"/>
          </w:tcPr>
          <w:p w14:paraId="4B689F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2024.8.20</w:t>
            </w:r>
          </w:p>
        </w:tc>
      </w:tr>
      <w:tr w14:paraId="6417A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664" w:type="dxa"/>
            <w:tcBorders>
              <w:top w:val="single" w:color="000000" w:sz="4" w:space="0"/>
              <w:left w:val="nil"/>
              <w:bottom w:val="single" w:color="000000" w:sz="4" w:space="0"/>
              <w:right w:val="single" w:color="000000" w:sz="4" w:space="0"/>
            </w:tcBorders>
            <w:shd w:val="clear" w:color="auto" w:fill="auto"/>
            <w:vAlign w:val="center"/>
          </w:tcPr>
          <w:p w14:paraId="59F0991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kern w:val="2"/>
                <w:sz w:val="18"/>
                <w:szCs w:val="18"/>
                <w:u w:val="none"/>
                <w:lang w:val="en-US" w:eastAsia="zh-CN" w:bidi="ar-SA"/>
              </w:rPr>
            </w:pPr>
            <w:r>
              <w:rPr>
                <w:rFonts w:hint="eastAsia" w:ascii="仿宋_GB2312" w:hAnsi="仿宋_GB2312" w:eastAsia="仿宋_GB2312" w:cs="仿宋_GB2312"/>
                <w:b/>
                <w:bCs/>
                <w:i w:val="0"/>
                <w:iCs w:val="0"/>
                <w:color w:val="000000"/>
                <w:kern w:val="2"/>
                <w:sz w:val="18"/>
                <w:szCs w:val="18"/>
                <w:u w:val="none"/>
                <w:lang w:val="en-US" w:eastAsia="zh-CN" w:bidi="ar-SA"/>
              </w:rPr>
              <w:t>二</w:t>
            </w:r>
          </w:p>
        </w:tc>
        <w:tc>
          <w:tcPr>
            <w:tcW w:w="3195" w:type="dxa"/>
            <w:tcBorders>
              <w:top w:val="single" w:color="000000" w:sz="4" w:space="0"/>
              <w:left w:val="single" w:color="000000" w:sz="4" w:space="0"/>
              <w:bottom w:val="single" w:color="auto" w:sz="4" w:space="0"/>
              <w:right w:val="single" w:color="auto" w:sz="4" w:space="0"/>
            </w:tcBorders>
            <w:shd w:val="clear" w:color="auto" w:fill="auto"/>
            <w:noWrap/>
            <w:vAlign w:val="center"/>
          </w:tcPr>
          <w:p w14:paraId="084A44C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kern w:val="2"/>
                <w:sz w:val="18"/>
                <w:szCs w:val="18"/>
                <w:u w:val="none"/>
                <w:lang w:val="en-US" w:eastAsia="zh-CN" w:bidi="ar-SA"/>
              </w:rPr>
            </w:pPr>
            <w:r>
              <w:rPr>
                <w:rFonts w:hint="eastAsia" w:ascii="仿宋_GB2312" w:hAnsi="仿宋_GB2312" w:eastAsia="仿宋_GB2312" w:cs="仿宋_GB2312"/>
                <w:b/>
                <w:bCs/>
                <w:i w:val="0"/>
                <w:iCs w:val="0"/>
                <w:color w:val="000000"/>
                <w:kern w:val="2"/>
                <w:sz w:val="18"/>
                <w:szCs w:val="18"/>
                <w:u w:val="none"/>
                <w:lang w:val="en-US" w:eastAsia="zh-CN" w:bidi="ar-SA"/>
              </w:rPr>
              <w:t>工程建设其他费</w:t>
            </w:r>
          </w:p>
        </w:tc>
        <w:tc>
          <w:tcPr>
            <w:tcW w:w="1340" w:type="dxa"/>
            <w:tcBorders>
              <w:top w:val="single" w:color="000000" w:sz="4" w:space="0"/>
              <w:left w:val="single" w:color="auto" w:sz="4" w:space="0"/>
              <w:bottom w:val="single" w:color="auto" w:sz="4" w:space="0"/>
              <w:right w:val="single" w:color="000000" w:sz="4" w:space="0"/>
            </w:tcBorders>
            <w:shd w:val="clear" w:color="auto" w:fill="auto"/>
            <w:noWrap/>
            <w:vAlign w:val="center"/>
          </w:tcPr>
          <w:p w14:paraId="3C6B1AC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kern w:val="2"/>
                <w:sz w:val="18"/>
                <w:szCs w:val="18"/>
                <w:u w:val="none"/>
                <w:lang w:val="en-US" w:eastAsia="zh-CN" w:bidi="ar-SA"/>
              </w:rPr>
            </w:pPr>
          </w:p>
        </w:tc>
        <w:tc>
          <w:tcPr>
            <w:tcW w:w="1330" w:type="dxa"/>
            <w:tcBorders>
              <w:top w:val="single" w:color="000000" w:sz="4" w:space="0"/>
              <w:left w:val="single" w:color="000000" w:sz="4" w:space="0"/>
              <w:bottom w:val="single" w:color="auto" w:sz="4" w:space="0"/>
              <w:right w:val="single" w:color="000000" w:sz="4" w:space="0"/>
            </w:tcBorders>
            <w:shd w:val="clear" w:color="auto" w:fill="auto"/>
            <w:vAlign w:val="center"/>
          </w:tcPr>
          <w:p w14:paraId="0183977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bCs/>
                <w:i w:val="0"/>
                <w:iCs w:val="0"/>
                <w:color w:val="000000"/>
                <w:kern w:val="2"/>
                <w:sz w:val="18"/>
                <w:szCs w:val="18"/>
                <w:u w:val="none"/>
                <w:lang w:val="en-US" w:eastAsia="zh-CN" w:bidi="ar-SA"/>
              </w:rPr>
            </w:pPr>
            <w:r>
              <w:rPr>
                <w:rFonts w:hint="eastAsia" w:ascii="仿宋_GB2312" w:hAnsi="仿宋_GB2312" w:eastAsia="仿宋_GB2312" w:cs="仿宋_GB2312"/>
                <w:b/>
                <w:bCs/>
                <w:i w:val="0"/>
                <w:iCs w:val="0"/>
                <w:color w:val="000000"/>
                <w:kern w:val="2"/>
                <w:sz w:val="18"/>
                <w:szCs w:val="18"/>
                <w:u w:val="none"/>
                <w:lang w:val="en-US" w:eastAsia="zh-CN" w:bidi="ar-SA"/>
              </w:rPr>
              <w:fldChar w:fldCharType="begin"/>
            </w:r>
            <w:r>
              <w:rPr>
                <w:rFonts w:hint="eastAsia" w:ascii="仿宋_GB2312" w:hAnsi="仿宋_GB2312" w:eastAsia="仿宋_GB2312" w:cs="仿宋_GB2312"/>
                <w:b/>
                <w:bCs/>
                <w:i w:val="0"/>
                <w:iCs w:val="0"/>
                <w:color w:val="000000"/>
                <w:kern w:val="2"/>
                <w:sz w:val="18"/>
                <w:szCs w:val="18"/>
                <w:u w:val="none"/>
                <w:lang w:val="en-US" w:eastAsia="zh-CN" w:bidi="ar-SA"/>
              </w:rPr>
              <w:instrText xml:space="preserve"> = sum(D5:D9) \* MERGEFORMAT </w:instrText>
            </w:r>
            <w:r>
              <w:rPr>
                <w:rFonts w:hint="eastAsia" w:ascii="仿宋_GB2312" w:hAnsi="仿宋_GB2312" w:eastAsia="仿宋_GB2312" w:cs="仿宋_GB2312"/>
                <w:b/>
                <w:bCs/>
                <w:i w:val="0"/>
                <w:iCs w:val="0"/>
                <w:color w:val="000000"/>
                <w:kern w:val="2"/>
                <w:sz w:val="18"/>
                <w:szCs w:val="18"/>
                <w:u w:val="none"/>
                <w:lang w:val="en-US" w:eastAsia="zh-CN" w:bidi="ar-SA"/>
              </w:rPr>
              <w:fldChar w:fldCharType="separate"/>
            </w:r>
            <w:r>
              <w:rPr>
                <w:rFonts w:hint="eastAsia" w:ascii="仿宋_GB2312" w:hAnsi="仿宋_GB2312" w:eastAsia="仿宋_GB2312" w:cs="仿宋_GB2312"/>
                <w:b/>
                <w:bCs/>
                <w:i w:val="0"/>
                <w:iCs w:val="0"/>
                <w:color w:val="000000"/>
                <w:kern w:val="2"/>
                <w:sz w:val="18"/>
                <w:szCs w:val="18"/>
                <w:u w:val="none"/>
                <w:lang w:val="en-US" w:eastAsia="zh-CN" w:bidi="ar-SA"/>
              </w:rPr>
              <w:t>241,500</w:t>
            </w:r>
            <w:r>
              <w:rPr>
                <w:rFonts w:hint="eastAsia" w:ascii="仿宋_GB2312" w:hAnsi="仿宋_GB2312" w:eastAsia="仿宋_GB2312" w:cs="仿宋_GB2312"/>
                <w:b/>
                <w:bCs/>
                <w:i w:val="0"/>
                <w:iCs w:val="0"/>
                <w:color w:val="000000"/>
                <w:kern w:val="2"/>
                <w:sz w:val="18"/>
                <w:szCs w:val="18"/>
                <w:u w:val="none"/>
                <w:lang w:val="en-US" w:eastAsia="zh-CN" w:bidi="ar-SA"/>
              </w:rPr>
              <w:fldChar w:fldCharType="end"/>
            </w:r>
            <w:r>
              <w:rPr>
                <w:rFonts w:hint="eastAsia" w:ascii="仿宋_GB2312" w:hAnsi="仿宋_GB2312" w:eastAsia="仿宋_GB2312" w:cs="仿宋_GB2312"/>
                <w:b/>
                <w:bCs/>
                <w:i w:val="0"/>
                <w:iCs w:val="0"/>
                <w:color w:val="000000"/>
                <w:kern w:val="2"/>
                <w:sz w:val="18"/>
                <w:szCs w:val="18"/>
                <w:u w:val="none"/>
                <w:lang w:val="en-US" w:eastAsia="zh-CN" w:bidi="ar-SA"/>
              </w:rPr>
              <w:t>.00</w:t>
            </w:r>
          </w:p>
        </w:tc>
        <w:tc>
          <w:tcPr>
            <w:tcW w:w="1016" w:type="dxa"/>
            <w:tcBorders>
              <w:top w:val="single" w:color="000000" w:sz="4" w:space="0"/>
              <w:left w:val="single" w:color="000000" w:sz="4" w:space="0"/>
              <w:bottom w:val="single" w:color="auto" w:sz="4" w:space="0"/>
              <w:right w:val="single" w:color="000000" w:sz="4" w:space="0"/>
            </w:tcBorders>
            <w:shd w:val="clear" w:color="auto" w:fill="auto"/>
            <w:vAlign w:val="center"/>
          </w:tcPr>
          <w:p w14:paraId="6C23354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1177" w:type="dxa"/>
            <w:tcBorders>
              <w:top w:val="single" w:color="000000" w:sz="4" w:space="0"/>
              <w:left w:val="single" w:color="000000" w:sz="4" w:space="0"/>
              <w:bottom w:val="single" w:color="000000" w:sz="4" w:space="0"/>
              <w:right w:val="nil"/>
            </w:tcBorders>
            <w:shd w:val="clear" w:color="auto" w:fill="auto"/>
            <w:vAlign w:val="center"/>
          </w:tcPr>
          <w:p w14:paraId="6D26A98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419DB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664" w:type="dxa"/>
            <w:tcBorders>
              <w:top w:val="single" w:color="000000" w:sz="4" w:space="0"/>
              <w:left w:val="nil"/>
              <w:bottom w:val="single" w:color="000000" w:sz="4" w:space="0"/>
              <w:right w:val="single" w:color="000000" w:sz="4" w:space="0"/>
            </w:tcBorders>
            <w:shd w:val="clear" w:color="auto" w:fill="auto"/>
            <w:vAlign w:val="center"/>
          </w:tcPr>
          <w:p w14:paraId="28A876F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sz w:val="18"/>
                <w:szCs w:val="18"/>
                <w:u w:val="none"/>
                <w:lang w:val="en-US" w:eastAsia="zh-CN"/>
              </w:rPr>
              <w:t>2.1</w:t>
            </w:r>
          </w:p>
        </w:tc>
        <w:tc>
          <w:tcPr>
            <w:tcW w:w="3195" w:type="dxa"/>
            <w:tcBorders>
              <w:top w:val="single" w:color="auto" w:sz="4" w:space="0"/>
              <w:left w:val="single" w:color="000000" w:sz="4" w:space="0"/>
              <w:bottom w:val="single" w:color="auto" w:sz="4" w:space="0"/>
              <w:right w:val="single" w:color="auto" w:sz="4" w:space="0"/>
            </w:tcBorders>
            <w:shd w:val="clear" w:color="auto" w:fill="auto"/>
            <w:noWrap/>
            <w:vAlign w:val="center"/>
          </w:tcPr>
          <w:p w14:paraId="7856A18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中辉设计集团有限公司</w:t>
            </w:r>
          </w:p>
        </w:tc>
        <w:tc>
          <w:tcPr>
            <w:tcW w:w="1340"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5B9998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施工图设计</w:t>
            </w:r>
          </w:p>
        </w:tc>
        <w:tc>
          <w:tcPr>
            <w:tcW w:w="1330" w:type="dxa"/>
            <w:tcBorders>
              <w:top w:val="single" w:color="auto" w:sz="4" w:space="0"/>
              <w:left w:val="single" w:color="000000" w:sz="4" w:space="0"/>
              <w:bottom w:val="single" w:color="auto" w:sz="4" w:space="0"/>
              <w:right w:val="single" w:color="000000" w:sz="4" w:space="0"/>
            </w:tcBorders>
            <w:shd w:val="clear" w:color="auto" w:fill="auto"/>
            <w:vAlign w:val="center"/>
          </w:tcPr>
          <w:p w14:paraId="3CDA7A7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sz w:val="18"/>
                <w:szCs w:val="18"/>
                <w:u w:val="none"/>
                <w:lang w:val="en-US" w:eastAsia="zh-CN"/>
              </w:rPr>
              <w:t>98,000.00</w:t>
            </w:r>
          </w:p>
        </w:tc>
        <w:tc>
          <w:tcPr>
            <w:tcW w:w="1016" w:type="dxa"/>
            <w:tcBorders>
              <w:top w:val="single" w:color="auto" w:sz="4" w:space="0"/>
              <w:left w:val="single" w:color="000000" w:sz="4" w:space="0"/>
              <w:bottom w:val="single" w:color="auto" w:sz="4" w:space="0"/>
              <w:right w:val="single" w:color="000000" w:sz="4" w:space="0"/>
            </w:tcBorders>
            <w:shd w:val="clear" w:color="auto" w:fill="auto"/>
            <w:vAlign w:val="center"/>
          </w:tcPr>
          <w:p w14:paraId="01FF143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1177" w:type="dxa"/>
            <w:tcBorders>
              <w:top w:val="single" w:color="000000" w:sz="4" w:space="0"/>
              <w:left w:val="single" w:color="000000" w:sz="4" w:space="0"/>
              <w:bottom w:val="single" w:color="000000" w:sz="4" w:space="0"/>
              <w:right w:val="nil"/>
            </w:tcBorders>
            <w:shd w:val="clear" w:color="auto" w:fill="auto"/>
            <w:vAlign w:val="center"/>
          </w:tcPr>
          <w:p w14:paraId="3C7674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2023.8.3</w:t>
            </w:r>
          </w:p>
        </w:tc>
      </w:tr>
      <w:tr w14:paraId="06B57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664" w:type="dxa"/>
            <w:tcBorders>
              <w:top w:val="single" w:color="000000" w:sz="4" w:space="0"/>
              <w:left w:val="nil"/>
              <w:bottom w:val="single" w:color="000000" w:sz="4" w:space="0"/>
              <w:right w:val="single" w:color="000000" w:sz="4" w:space="0"/>
            </w:tcBorders>
            <w:shd w:val="clear" w:color="auto" w:fill="auto"/>
            <w:vAlign w:val="center"/>
          </w:tcPr>
          <w:p w14:paraId="3BB88A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highlight w:val="none"/>
                <w:u w:val="none"/>
                <w:lang w:val="en-US" w:eastAsia="zh-CN" w:bidi="ar-SA"/>
              </w:rPr>
            </w:pPr>
            <w:r>
              <w:rPr>
                <w:rFonts w:hint="eastAsia" w:ascii="仿宋_GB2312" w:hAnsi="仿宋_GB2312" w:eastAsia="仿宋_GB2312" w:cs="仿宋_GB2312"/>
                <w:i w:val="0"/>
                <w:iCs w:val="0"/>
                <w:color w:val="000000"/>
                <w:sz w:val="18"/>
                <w:szCs w:val="18"/>
                <w:highlight w:val="none"/>
                <w:u w:val="none"/>
                <w:lang w:val="en-US" w:eastAsia="zh-CN"/>
              </w:rPr>
              <w:t>2.2</w:t>
            </w:r>
          </w:p>
        </w:tc>
        <w:tc>
          <w:tcPr>
            <w:tcW w:w="3195" w:type="dxa"/>
            <w:tcBorders>
              <w:top w:val="single" w:color="auto" w:sz="4" w:space="0"/>
              <w:left w:val="single" w:color="000000" w:sz="4" w:space="0"/>
              <w:bottom w:val="single" w:color="000000" w:sz="4" w:space="0"/>
              <w:right w:val="single" w:color="auto" w:sz="4" w:space="0"/>
            </w:tcBorders>
            <w:shd w:val="clear" w:color="auto" w:fill="auto"/>
            <w:noWrap/>
            <w:vAlign w:val="center"/>
          </w:tcPr>
          <w:p w14:paraId="1DF3D97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highlight w:val="none"/>
                <w:u w:val="none"/>
                <w:lang w:val="en-US" w:eastAsia="zh-CN" w:bidi="ar-SA"/>
              </w:rPr>
            </w:pPr>
            <w:r>
              <w:rPr>
                <w:rFonts w:hint="eastAsia" w:ascii="仿宋_GB2312" w:hAnsi="仿宋_GB2312" w:eastAsia="仿宋_GB2312" w:cs="仿宋_GB2312"/>
                <w:i w:val="0"/>
                <w:iCs w:val="0"/>
                <w:color w:val="000000"/>
                <w:kern w:val="0"/>
                <w:sz w:val="18"/>
                <w:szCs w:val="18"/>
                <w:highlight w:val="none"/>
                <w:u w:val="none"/>
                <w:lang w:val="en-US" w:eastAsia="zh-CN" w:bidi="ar"/>
              </w:rPr>
              <w:t>宝鸡立标得工程咨询监理有限公司</w:t>
            </w:r>
          </w:p>
        </w:tc>
        <w:tc>
          <w:tcPr>
            <w:tcW w:w="1340" w:type="dxa"/>
            <w:tcBorders>
              <w:top w:val="single" w:color="auto" w:sz="4" w:space="0"/>
              <w:left w:val="single" w:color="auto" w:sz="4" w:space="0"/>
              <w:bottom w:val="single" w:color="000000" w:sz="4" w:space="0"/>
              <w:right w:val="single" w:color="000000" w:sz="4" w:space="0"/>
            </w:tcBorders>
            <w:shd w:val="clear" w:color="auto" w:fill="auto"/>
            <w:noWrap/>
            <w:vAlign w:val="center"/>
          </w:tcPr>
          <w:p w14:paraId="76780D7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highlight w:val="none"/>
                <w:u w:val="none"/>
                <w:lang w:val="en-US" w:eastAsia="zh-CN" w:bidi="ar-SA"/>
              </w:rPr>
            </w:pPr>
            <w:r>
              <w:rPr>
                <w:rFonts w:hint="eastAsia" w:ascii="仿宋_GB2312" w:hAnsi="仿宋_GB2312" w:eastAsia="仿宋_GB2312" w:cs="仿宋_GB2312"/>
                <w:i w:val="0"/>
                <w:iCs w:val="0"/>
                <w:color w:val="000000"/>
                <w:kern w:val="2"/>
                <w:sz w:val="18"/>
                <w:szCs w:val="18"/>
                <w:highlight w:val="none"/>
                <w:u w:val="none"/>
                <w:lang w:val="en-US" w:eastAsia="zh-CN" w:bidi="ar-SA"/>
              </w:rPr>
              <w:t>稳评报告编制</w:t>
            </w:r>
          </w:p>
        </w:tc>
        <w:tc>
          <w:tcPr>
            <w:tcW w:w="1330" w:type="dxa"/>
            <w:tcBorders>
              <w:top w:val="single" w:color="auto" w:sz="4" w:space="0"/>
              <w:left w:val="single" w:color="000000" w:sz="4" w:space="0"/>
              <w:bottom w:val="single" w:color="000000" w:sz="4" w:space="0"/>
              <w:right w:val="single" w:color="000000" w:sz="4" w:space="0"/>
            </w:tcBorders>
            <w:shd w:val="clear" w:color="auto" w:fill="auto"/>
            <w:vAlign w:val="center"/>
          </w:tcPr>
          <w:p w14:paraId="2EC9F22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highlight w:val="none"/>
                <w:u w:val="none"/>
                <w:lang w:val="en-US" w:eastAsia="zh-CN" w:bidi="ar-SA"/>
              </w:rPr>
            </w:pPr>
            <w:r>
              <w:rPr>
                <w:rFonts w:hint="eastAsia" w:ascii="仿宋_GB2312" w:hAnsi="仿宋_GB2312" w:eastAsia="仿宋_GB2312" w:cs="仿宋_GB2312"/>
                <w:i w:val="0"/>
                <w:iCs w:val="0"/>
                <w:color w:val="000000"/>
                <w:sz w:val="18"/>
                <w:szCs w:val="18"/>
                <w:highlight w:val="none"/>
                <w:u w:val="none"/>
                <w:lang w:val="en-US" w:eastAsia="zh-CN"/>
              </w:rPr>
              <w:t>20,000.00</w:t>
            </w:r>
          </w:p>
        </w:tc>
        <w:tc>
          <w:tcPr>
            <w:tcW w:w="1016" w:type="dxa"/>
            <w:tcBorders>
              <w:top w:val="single" w:color="auto" w:sz="4" w:space="0"/>
              <w:left w:val="single" w:color="000000" w:sz="4" w:space="0"/>
              <w:bottom w:val="single" w:color="000000" w:sz="4" w:space="0"/>
              <w:right w:val="single" w:color="000000" w:sz="4" w:space="0"/>
            </w:tcBorders>
            <w:shd w:val="clear" w:color="auto" w:fill="auto"/>
            <w:vAlign w:val="center"/>
          </w:tcPr>
          <w:p w14:paraId="108B212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highlight w:val="red"/>
                <w:u w:val="none"/>
                <w:lang w:val="en-US" w:eastAsia="zh-CN" w:bidi="ar"/>
              </w:rPr>
            </w:pPr>
          </w:p>
        </w:tc>
        <w:tc>
          <w:tcPr>
            <w:tcW w:w="1177" w:type="dxa"/>
            <w:tcBorders>
              <w:top w:val="single" w:color="000000" w:sz="4" w:space="0"/>
              <w:left w:val="single" w:color="000000" w:sz="4" w:space="0"/>
              <w:bottom w:val="single" w:color="000000" w:sz="4" w:space="0"/>
              <w:right w:val="nil"/>
            </w:tcBorders>
            <w:shd w:val="clear" w:color="auto" w:fill="auto"/>
            <w:vAlign w:val="center"/>
          </w:tcPr>
          <w:p w14:paraId="5AC72E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2024.3.15</w:t>
            </w:r>
          </w:p>
        </w:tc>
      </w:tr>
      <w:tr w14:paraId="32E47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64" w:type="dxa"/>
            <w:tcBorders>
              <w:top w:val="single" w:color="000000" w:sz="4" w:space="0"/>
              <w:left w:val="nil"/>
              <w:bottom w:val="single" w:color="000000" w:sz="4" w:space="0"/>
              <w:right w:val="single" w:color="000000" w:sz="4" w:space="0"/>
            </w:tcBorders>
            <w:shd w:val="clear" w:color="auto" w:fill="auto"/>
            <w:vAlign w:val="center"/>
          </w:tcPr>
          <w:p w14:paraId="2C4664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sz w:val="18"/>
                <w:szCs w:val="18"/>
                <w:u w:val="none"/>
                <w:lang w:val="en-US" w:eastAsia="zh-CN"/>
              </w:rPr>
              <w:t>2.3</w:t>
            </w:r>
          </w:p>
        </w:tc>
        <w:tc>
          <w:tcPr>
            <w:tcW w:w="3195" w:type="dxa"/>
            <w:tcBorders>
              <w:top w:val="single" w:color="000000" w:sz="4" w:space="0"/>
              <w:left w:val="single" w:color="000000" w:sz="4" w:space="0"/>
              <w:right w:val="single" w:color="auto" w:sz="4" w:space="0"/>
            </w:tcBorders>
            <w:shd w:val="clear" w:color="auto" w:fill="auto"/>
            <w:noWrap/>
            <w:vAlign w:val="center"/>
          </w:tcPr>
          <w:p w14:paraId="05DC9D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陕西工程勘察研究院有限公司</w:t>
            </w:r>
          </w:p>
        </w:tc>
        <w:tc>
          <w:tcPr>
            <w:tcW w:w="1340" w:type="dxa"/>
            <w:tcBorders>
              <w:top w:val="single" w:color="000000" w:sz="4" w:space="0"/>
              <w:left w:val="single" w:color="auto" w:sz="4" w:space="0"/>
              <w:right w:val="single" w:color="000000" w:sz="4" w:space="0"/>
            </w:tcBorders>
            <w:shd w:val="clear" w:color="auto" w:fill="auto"/>
            <w:noWrap/>
            <w:vAlign w:val="center"/>
          </w:tcPr>
          <w:p w14:paraId="65B925D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highlight w:val="none"/>
                <w:u w:val="none"/>
                <w:lang w:val="en-US" w:eastAsia="zh-CN" w:bidi="ar-SA"/>
              </w:rPr>
            </w:pPr>
            <w:r>
              <w:rPr>
                <w:rFonts w:hint="eastAsia" w:ascii="仿宋_GB2312" w:hAnsi="仿宋_GB2312" w:eastAsia="仿宋_GB2312" w:cs="仿宋_GB2312"/>
                <w:i w:val="0"/>
                <w:iCs w:val="0"/>
                <w:color w:val="000000"/>
                <w:kern w:val="0"/>
                <w:sz w:val="18"/>
                <w:szCs w:val="18"/>
                <w:highlight w:val="none"/>
                <w:u w:val="none"/>
                <w:lang w:val="en-US" w:eastAsia="zh-CN" w:bidi="ar"/>
              </w:rPr>
              <w:t>工程勘察</w:t>
            </w:r>
          </w:p>
        </w:tc>
        <w:tc>
          <w:tcPr>
            <w:tcW w:w="1330" w:type="dxa"/>
            <w:tcBorders>
              <w:top w:val="single" w:color="000000" w:sz="4" w:space="0"/>
              <w:left w:val="single" w:color="000000" w:sz="4" w:space="0"/>
              <w:right w:val="single" w:color="000000" w:sz="4" w:space="0"/>
            </w:tcBorders>
            <w:shd w:val="clear" w:color="auto" w:fill="auto"/>
            <w:vAlign w:val="center"/>
          </w:tcPr>
          <w:p w14:paraId="3B109DD6">
            <w:pPr>
              <w:keepNext w:val="0"/>
              <w:keepLines w:val="0"/>
              <w:pageBreakBefore w:val="0"/>
              <w:widowControl/>
              <w:kinsoku/>
              <w:wordWrap/>
              <w:overflowPunct/>
              <w:topLinePunct w:val="0"/>
              <w:autoSpaceDE/>
              <w:autoSpaceDN/>
              <w:bidi w:val="0"/>
              <w:adjustRightInd/>
              <w:snapToGrid/>
              <w:spacing w:line="260" w:lineRule="exact"/>
              <w:jc w:val="center"/>
              <w:rPr>
                <w:rFonts w:hint="default" w:ascii="仿宋_GB2312" w:hAnsi="仿宋_GB2312" w:eastAsia="仿宋_GB2312" w:cs="仿宋_GB2312"/>
                <w:i w:val="0"/>
                <w:iCs w:val="0"/>
                <w:color w:val="000000"/>
                <w:kern w:val="2"/>
                <w:sz w:val="18"/>
                <w:szCs w:val="18"/>
                <w:highlight w:val="none"/>
                <w:u w:val="none"/>
                <w:lang w:val="en-US" w:eastAsia="zh-CN" w:bidi="ar-SA"/>
              </w:rPr>
            </w:pPr>
            <w:r>
              <w:rPr>
                <w:rFonts w:hint="eastAsia" w:ascii="仿宋_GB2312" w:hAnsi="仿宋_GB2312" w:eastAsia="仿宋_GB2312" w:cs="仿宋_GB2312"/>
                <w:i w:val="0"/>
                <w:iCs w:val="0"/>
                <w:color w:val="000000"/>
                <w:sz w:val="18"/>
                <w:szCs w:val="18"/>
                <w:highlight w:val="none"/>
                <w:u w:val="none"/>
                <w:lang w:val="en-US" w:eastAsia="zh-CN"/>
              </w:rPr>
              <w:t>26,000.00</w:t>
            </w:r>
          </w:p>
        </w:tc>
        <w:tc>
          <w:tcPr>
            <w:tcW w:w="1016" w:type="dxa"/>
            <w:tcBorders>
              <w:top w:val="single" w:color="000000" w:sz="4" w:space="0"/>
              <w:left w:val="single" w:color="000000" w:sz="4" w:space="0"/>
              <w:right w:val="single" w:color="000000" w:sz="4" w:space="0"/>
            </w:tcBorders>
            <w:shd w:val="clear" w:color="auto" w:fill="auto"/>
            <w:vAlign w:val="center"/>
          </w:tcPr>
          <w:p w14:paraId="3415174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highlight w:val="none"/>
                <w:u w:val="none"/>
                <w:lang w:val="en-US" w:eastAsia="zh-CN" w:bidi="ar-SA"/>
              </w:rPr>
            </w:pPr>
          </w:p>
        </w:tc>
        <w:tc>
          <w:tcPr>
            <w:tcW w:w="1177" w:type="dxa"/>
            <w:tcBorders>
              <w:top w:val="single" w:color="000000" w:sz="4" w:space="0"/>
              <w:left w:val="single" w:color="000000" w:sz="4" w:space="0"/>
              <w:bottom w:val="single" w:color="000000" w:sz="4" w:space="0"/>
              <w:right w:val="nil"/>
            </w:tcBorders>
            <w:shd w:val="clear" w:color="auto" w:fill="auto"/>
            <w:vAlign w:val="center"/>
          </w:tcPr>
          <w:p w14:paraId="6256E8B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highlight w:val="none"/>
                <w:u w:val="none"/>
                <w:lang w:val="en-US" w:eastAsia="zh-CN" w:bidi="ar"/>
              </w:rPr>
            </w:pPr>
            <w:r>
              <w:rPr>
                <w:rFonts w:hint="eastAsia" w:ascii="仿宋_GB2312" w:hAnsi="仿宋_GB2312" w:eastAsia="仿宋_GB2312" w:cs="仿宋_GB2312"/>
                <w:i w:val="0"/>
                <w:iCs w:val="0"/>
                <w:color w:val="000000"/>
                <w:kern w:val="0"/>
                <w:sz w:val="18"/>
                <w:szCs w:val="18"/>
                <w:highlight w:val="none"/>
                <w:u w:val="none"/>
                <w:lang w:val="en-US" w:eastAsia="zh-CN" w:bidi="ar"/>
              </w:rPr>
              <w:t>2024.4.19</w:t>
            </w:r>
          </w:p>
        </w:tc>
      </w:tr>
      <w:tr w14:paraId="45067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664" w:type="dxa"/>
            <w:tcBorders>
              <w:top w:val="single" w:color="000000" w:sz="4" w:space="0"/>
              <w:left w:val="nil"/>
              <w:bottom w:val="single" w:color="000000" w:sz="4" w:space="0"/>
              <w:right w:val="single" w:color="000000" w:sz="4" w:space="0"/>
            </w:tcBorders>
            <w:shd w:val="clear" w:color="auto" w:fill="auto"/>
            <w:vAlign w:val="center"/>
          </w:tcPr>
          <w:p w14:paraId="5CB0F83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2"/>
                <w:sz w:val="18"/>
                <w:szCs w:val="18"/>
                <w:u w:val="none"/>
                <w:lang w:val="en-US" w:eastAsia="zh-CN" w:bidi="ar-SA"/>
              </w:rPr>
              <w:t>2.4</w:t>
            </w:r>
          </w:p>
        </w:tc>
        <w:tc>
          <w:tcPr>
            <w:tcW w:w="3195" w:type="dxa"/>
            <w:tcBorders>
              <w:top w:val="single" w:color="auto" w:sz="4" w:space="0"/>
              <w:left w:val="single" w:color="000000" w:sz="4" w:space="0"/>
              <w:right w:val="single" w:color="auto" w:sz="4" w:space="0"/>
            </w:tcBorders>
            <w:shd w:val="clear" w:color="auto" w:fill="auto"/>
            <w:noWrap/>
            <w:vAlign w:val="center"/>
          </w:tcPr>
          <w:p w14:paraId="05FBF27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2"/>
                <w:sz w:val="18"/>
                <w:szCs w:val="18"/>
                <w:u w:val="none"/>
                <w:lang w:val="en-US" w:eastAsia="zh-CN" w:bidi="ar-SA"/>
              </w:rPr>
              <w:t>陕西长青工程技术咨询有限责任公司</w:t>
            </w:r>
          </w:p>
        </w:tc>
        <w:tc>
          <w:tcPr>
            <w:tcW w:w="1340" w:type="dxa"/>
            <w:tcBorders>
              <w:top w:val="single" w:color="auto" w:sz="4" w:space="0"/>
              <w:left w:val="single" w:color="auto" w:sz="4" w:space="0"/>
              <w:right w:val="single" w:color="000000" w:sz="4" w:space="0"/>
            </w:tcBorders>
            <w:shd w:val="clear" w:color="auto" w:fill="auto"/>
            <w:noWrap/>
            <w:vAlign w:val="center"/>
          </w:tcPr>
          <w:p w14:paraId="1C26076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highlight w:val="none"/>
                <w:u w:val="none"/>
                <w:lang w:val="en-US" w:eastAsia="zh-CN" w:bidi="ar-SA"/>
              </w:rPr>
            </w:pPr>
            <w:r>
              <w:rPr>
                <w:rFonts w:hint="eastAsia" w:ascii="仿宋_GB2312" w:hAnsi="仿宋_GB2312" w:eastAsia="仿宋_GB2312" w:cs="仿宋_GB2312"/>
                <w:i w:val="0"/>
                <w:iCs w:val="0"/>
                <w:color w:val="000000"/>
                <w:kern w:val="0"/>
                <w:sz w:val="18"/>
                <w:szCs w:val="18"/>
                <w:highlight w:val="none"/>
                <w:u w:val="none"/>
                <w:lang w:val="en-US" w:eastAsia="zh-CN" w:bidi="ar"/>
              </w:rPr>
              <w:t>施工图审查</w:t>
            </w:r>
          </w:p>
        </w:tc>
        <w:tc>
          <w:tcPr>
            <w:tcW w:w="1330" w:type="dxa"/>
            <w:tcBorders>
              <w:top w:val="single" w:color="auto" w:sz="4" w:space="0"/>
              <w:left w:val="single" w:color="000000" w:sz="4" w:space="0"/>
              <w:right w:val="single" w:color="000000" w:sz="4" w:space="0"/>
            </w:tcBorders>
            <w:shd w:val="clear" w:color="auto" w:fill="auto"/>
            <w:vAlign w:val="center"/>
          </w:tcPr>
          <w:p w14:paraId="5F83148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2"/>
                <w:sz w:val="18"/>
                <w:szCs w:val="18"/>
                <w:highlight w:val="none"/>
                <w:u w:val="none"/>
                <w:lang w:val="en-US" w:eastAsia="zh-CN" w:bidi="ar-SA"/>
              </w:rPr>
            </w:pPr>
            <w:r>
              <w:rPr>
                <w:rFonts w:hint="eastAsia" w:ascii="仿宋_GB2312" w:hAnsi="仿宋_GB2312" w:eastAsia="仿宋_GB2312" w:cs="仿宋_GB2312"/>
                <w:i w:val="0"/>
                <w:iCs w:val="0"/>
                <w:color w:val="000000"/>
                <w:sz w:val="18"/>
                <w:szCs w:val="18"/>
                <w:highlight w:val="none"/>
                <w:u w:val="none"/>
                <w:lang w:val="en-US" w:eastAsia="zh-CN"/>
              </w:rPr>
              <w:t>15,000.00</w:t>
            </w:r>
          </w:p>
        </w:tc>
        <w:tc>
          <w:tcPr>
            <w:tcW w:w="1016" w:type="dxa"/>
            <w:tcBorders>
              <w:top w:val="single" w:color="auto" w:sz="4" w:space="0"/>
              <w:left w:val="single" w:color="000000" w:sz="4" w:space="0"/>
              <w:right w:val="single" w:color="000000" w:sz="4" w:space="0"/>
            </w:tcBorders>
            <w:shd w:val="clear" w:color="auto" w:fill="auto"/>
            <w:vAlign w:val="center"/>
          </w:tcPr>
          <w:p w14:paraId="69244D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highlight w:val="none"/>
                <w:u w:val="none"/>
                <w:lang w:val="en-US" w:eastAsia="zh-CN" w:bidi="ar"/>
              </w:rPr>
            </w:pPr>
          </w:p>
        </w:tc>
        <w:tc>
          <w:tcPr>
            <w:tcW w:w="1177" w:type="dxa"/>
            <w:tcBorders>
              <w:top w:val="single" w:color="000000" w:sz="4" w:space="0"/>
              <w:left w:val="single" w:color="000000" w:sz="4" w:space="0"/>
              <w:bottom w:val="single" w:color="000000" w:sz="4" w:space="0"/>
              <w:right w:val="nil"/>
            </w:tcBorders>
            <w:shd w:val="clear" w:color="auto" w:fill="auto"/>
            <w:vAlign w:val="center"/>
          </w:tcPr>
          <w:p w14:paraId="41AE898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highlight w:val="none"/>
                <w:u w:val="none"/>
                <w:lang w:val="en-US" w:eastAsia="zh-CN" w:bidi="ar"/>
              </w:rPr>
            </w:pPr>
            <w:r>
              <w:rPr>
                <w:rFonts w:hint="eastAsia" w:ascii="仿宋_GB2312" w:hAnsi="仿宋_GB2312" w:eastAsia="仿宋_GB2312" w:cs="仿宋_GB2312"/>
                <w:i w:val="0"/>
                <w:iCs w:val="0"/>
                <w:color w:val="000000"/>
                <w:kern w:val="0"/>
                <w:sz w:val="18"/>
                <w:szCs w:val="18"/>
                <w:highlight w:val="none"/>
                <w:u w:val="none"/>
                <w:lang w:val="en-US" w:eastAsia="zh-CN" w:bidi="ar"/>
              </w:rPr>
              <w:t>2024.4.19</w:t>
            </w:r>
          </w:p>
        </w:tc>
      </w:tr>
      <w:tr w14:paraId="60F1C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664" w:type="dxa"/>
            <w:tcBorders>
              <w:top w:val="single" w:color="000000" w:sz="4" w:space="0"/>
              <w:left w:val="nil"/>
              <w:bottom w:val="single" w:color="000000" w:sz="4" w:space="0"/>
              <w:right w:val="single" w:color="000000" w:sz="4" w:space="0"/>
            </w:tcBorders>
            <w:shd w:val="clear" w:color="auto" w:fill="auto"/>
            <w:noWrap/>
            <w:vAlign w:val="center"/>
          </w:tcPr>
          <w:p w14:paraId="7DF4AFB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sz w:val="18"/>
                <w:szCs w:val="18"/>
                <w:u w:val="none"/>
                <w:lang w:val="en-US" w:eastAsia="zh-CN"/>
              </w:rPr>
              <w:t>2.5</w:t>
            </w:r>
          </w:p>
        </w:tc>
        <w:tc>
          <w:tcPr>
            <w:tcW w:w="319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0D61B8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kern w:val="0"/>
                <w:sz w:val="18"/>
                <w:szCs w:val="18"/>
                <w:u w:val="none"/>
                <w:lang w:val="en-US" w:eastAsia="zh-CN" w:bidi="ar"/>
              </w:rPr>
              <w:t>大诺建筑集团有限公司</w:t>
            </w:r>
          </w:p>
        </w:tc>
        <w:tc>
          <w:tcPr>
            <w:tcW w:w="13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2C9F29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监理</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9D4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82,500.00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962F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1177" w:type="dxa"/>
            <w:tcBorders>
              <w:top w:val="single" w:color="000000" w:sz="4" w:space="0"/>
              <w:left w:val="single" w:color="000000" w:sz="4" w:space="0"/>
              <w:bottom w:val="single" w:color="000000" w:sz="4" w:space="0"/>
              <w:right w:val="nil"/>
            </w:tcBorders>
            <w:shd w:val="clear" w:color="auto" w:fill="auto"/>
            <w:vAlign w:val="center"/>
          </w:tcPr>
          <w:p w14:paraId="25F1E5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2024.8.20</w:t>
            </w:r>
          </w:p>
        </w:tc>
      </w:tr>
      <w:tr w14:paraId="0ED76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664" w:type="dxa"/>
            <w:tcBorders>
              <w:top w:val="single" w:color="000000" w:sz="4" w:space="0"/>
              <w:left w:val="nil"/>
              <w:bottom w:val="single" w:color="000000" w:sz="4" w:space="0"/>
              <w:right w:val="single" w:color="000000" w:sz="4" w:space="0"/>
            </w:tcBorders>
            <w:shd w:val="clear" w:color="auto" w:fill="auto"/>
            <w:noWrap/>
            <w:vAlign w:val="center"/>
          </w:tcPr>
          <w:p w14:paraId="64EF11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2"/>
                <w:sz w:val="18"/>
                <w:szCs w:val="18"/>
                <w:u w:val="none"/>
                <w:lang w:val="en-US" w:eastAsia="zh-CN" w:bidi="ar-SA"/>
              </w:rPr>
            </w:pPr>
          </w:p>
        </w:tc>
        <w:tc>
          <w:tcPr>
            <w:tcW w:w="319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4F434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合计</w:t>
            </w:r>
          </w:p>
        </w:tc>
        <w:tc>
          <w:tcPr>
            <w:tcW w:w="134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EA08E5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sz w:val="18"/>
                <w:szCs w:val="18"/>
                <w:u w:val="none"/>
              </w:rPr>
            </w:pP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D35DA">
            <w:pPr>
              <w:keepNext w:val="0"/>
              <w:keepLines w:val="0"/>
              <w:pageBreakBefore w:val="0"/>
              <w:widowControl/>
              <w:kinsoku/>
              <w:wordWrap/>
              <w:overflowPunct/>
              <w:topLinePunct w:val="0"/>
              <w:autoSpaceDE/>
              <w:autoSpaceDN/>
              <w:bidi w:val="0"/>
              <w:adjustRightInd/>
              <w:snapToGrid/>
              <w:spacing w:line="260" w:lineRule="exact"/>
              <w:jc w:val="center"/>
              <w:rPr>
                <w:rFonts w:hint="default"/>
                <w:lang w:val="en-US" w:eastAsia="zh-CN"/>
              </w:rPr>
            </w:pPr>
            <w:r>
              <w:rPr>
                <w:rFonts w:hint="eastAsia" w:ascii="仿宋_GB2312" w:hAnsi="仿宋_GB2312" w:eastAsia="仿宋_GB2312" w:cs="仿宋_GB2312"/>
                <w:b/>
                <w:bCs/>
                <w:i w:val="0"/>
                <w:iCs w:val="0"/>
                <w:color w:val="000000"/>
                <w:sz w:val="18"/>
                <w:szCs w:val="18"/>
                <w:u w:val="none"/>
                <w:lang w:val="en-US" w:eastAsia="zh-CN"/>
              </w:rPr>
              <w:t>6,591,420.06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744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p>
        </w:tc>
        <w:tc>
          <w:tcPr>
            <w:tcW w:w="1177" w:type="dxa"/>
            <w:tcBorders>
              <w:top w:val="single" w:color="000000" w:sz="4" w:space="0"/>
              <w:left w:val="single" w:color="000000" w:sz="4" w:space="0"/>
              <w:bottom w:val="single" w:color="000000" w:sz="4" w:space="0"/>
              <w:right w:val="nil"/>
            </w:tcBorders>
            <w:shd w:val="clear" w:color="auto" w:fill="auto"/>
            <w:noWrap/>
            <w:vAlign w:val="center"/>
          </w:tcPr>
          <w:p w14:paraId="4D2494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rPr>
            </w:pPr>
            <w:r>
              <w:rPr>
                <w:rFonts w:hint="eastAsia" w:ascii="仿宋_GB2312" w:hAnsi="仿宋_GB2312" w:eastAsia="仿宋_GB2312" w:cs="仿宋_GB2312"/>
                <w:i w:val="0"/>
                <w:iCs w:val="0"/>
                <w:color w:val="000000"/>
                <w:kern w:val="0"/>
                <w:sz w:val="18"/>
                <w:szCs w:val="18"/>
                <w:u w:val="none"/>
                <w:lang w:val="en-US" w:eastAsia="zh-CN" w:bidi="ar"/>
              </w:rPr>
              <w:t>—</w:t>
            </w:r>
          </w:p>
        </w:tc>
      </w:tr>
    </w:tbl>
    <w:p w14:paraId="5F94FD0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3.项目建设情况</w:t>
      </w:r>
    </w:p>
    <w:p w14:paraId="34EA987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项目实际从2024年9月1日开工建设，2025年1月完工，截至2025年6月23日评价日，尚未进行竣工验收工作。</w:t>
      </w:r>
    </w:p>
    <w:p w14:paraId="7E057DC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4.项目审计情况</w:t>
      </w:r>
    </w:p>
    <w:p w14:paraId="44C1D07D">
      <w:pPr>
        <w:pStyle w:val="2"/>
        <w:keepNext w:val="0"/>
        <w:keepLines w:val="0"/>
        <w:pageBreakBefore w:val="0"/>
        <w:widowControl w:val="0"/>
        <w:kinsoku/>
        <w:wordWrap/>
        <w:overflowPunct/>
        <w:topLinePunct w:val="0"/>
        <w:autoSpaceDE/>
        <w:autoSpaceDN/>
        <w:bidi w:val="0"/>
        <w:adjustRightInd/>
        <w:snapToGrid/>
        <w:spacing w:after="0" w:line="560" w:lineRule="exact"/>
        <w:ind w:firstLine="646" w:firstLineChars="200"/>
        <w:textAlignment w:val="auto"/>
        <w:rPr>
          <w:rFonts w:hint="default" w:ascii="仿宋_GB2312" w:hAnsi="仿宋_GB2312" w:eastAsia="仿宋_GB2312" w:cs="仿宋_GB2312"/>
          <w:color w:val="auto"/>
          <w:kern w:val="2"/>
          <w:sz w:val="32"/>
          <w:szCs w:val="32"/>
          <w:highlight w:val="green"/>
          <w:lang w:val="en-US" w:eastAsia="zh-CN" w:bidi="ar-SA"/>
        </w:rPr>
      </w:pPr>
      <w:r>
        <w:rPr>
          <w:rFonts w:hint="eastAsia" w:ascii="仿宋_GB2312" w:hAnsi="仿宋_GB2312" w:eastAsia="仿宋_GB2312" w:cs="仿宋_GB2312"/>
          <w:color w:val="auto"/>
          <w:kern w:val="2"/>
          <w:sz w:val="32"/>
          <w:szCs w:val="32"/>
          <w:highlight w:val="none"/>
          <w:lang w:val="en-US" w:eastAsia="zh-CN" w:bidi="ar-SA"/>
        </w:rPr>
        <w:t>项目尚未审计。</w:t>
      </w:r>
    </w:p>
    <w:p w14:paraId="4C685EB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（五）项目绩效目标及完成情况</w:t>
      </w:r>
    </w:p>
    <w:p w14:paraId="1306797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Calibri" w:eastAsia="仿宋_GB2312" w:cs="仿宋_GB2312"/>
          <w:b/>
          <w:bCs/>
          <w:color w:val="auto"/>
          <w:kern w:val="2"/>
          <w:sz w:val="28"/>
          <w:szCs w:val="28"/>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项目从2024年9月1日起实施，截至项目评价日</w:t>
      </w:r>
      <w:r>
        <w:rPr>
          <w:rFonts w:hint="eastAsia" w:ascii="仿宋_GB2312" w:hAnsi="仿宋_GB2312" w:eastAsia="仿宋_GB2312" w:cs="仿宋_GB2312"/>
          <w:kern w:val="2"/>
          <w:sz w:val="32"/>
          <w:szCs w:val="32"/>
          <w:highlight w:val="none"/>
          <w:lang w:val="en-US" w:eastAsia="zh-CN" w:bidi="ar-SA"/>
        </w:rPr>
        <w:t>，已全部完成了项目主要建设内容及绩效目标任务</w:t>
      </w:r>
      <w:r>
        <w:rPr>
          <w:rFonts w:hint="eastAsia" w:ascii="仿宋_GB2312" w:hAnsi="仿宋_GB2312" w:eastAsia="仿宋_GB2312" w:cs="仿宋_GB2312"/>
          <w:color w:val="auto"/>
          <w:kern w:val="2"/>
          <w:sz w:val="32"/>
          <w:szCs w:val="32"/>
          <w:highlight w:val="none"/>
          <w:lang w:val="en-US" w:eastAsia="zh-CN" w:bidi="ar-SA"/>
        </w:rPr>
        <w:t>。项目主要绩效目标完成情况详见表5。</w:t>
      </w:r>
    </w:p>
    <w:p w14:paraId="01087B4E">
      <w:pPr>
        <w:pStyle w:val="3"/>
        <w:keepNext w:val="0"/>
        <w:keepLines w:val="0"/>
        <w:pageBreakBefore w:val="0"/>
        <w:widowControl w:val="0"/>
        <w:kinsoku/>
        <w:wordWrap/>
        <w:overflowPunct/>
        <w:topLinePunct w:val="0"/>
        <w:autoSpaceDE/>
        <w:autoSpaceDN/>
        <w:bidi w:val="0"/>
        <w:adjustRightInd/>
        <w:snapToGrid/>
        <w:spacing w:before="165" w:beforeLines="50" w:line="460" w:lineRule="exact"/>
        <w:jc w:val="center"/>
        <w:textAlignment w:val="auto"/>
        <w:rPr>
          <w:rFonts w:hint="default" w:ascii="仿宋_GB2312" w:hAnsi="Calibri" w:eastAsia="仿宋_GB2312" w:cs="仿宋_GB2312"/>
          <w:b/>
          <w:bCs/>
          <w:color w:val="auto"/>
          <w:kern w:val="2"/>
          <w:sz w:val="28"/>
          <w:szCs w:val="28"/>
          <w:highlight w:val="none"/>
          <w:lang w:val="en-US" w:eastAsia="zh-CN" w:bidi="ar-SA"/>
        </w:rPr>
      </w:pPr>
    </w:p>
    <w:p w14:paraId="60634231">
      <w:pPr>
        <w:pStyle w:val="3"/>
        <w:keepNext w:val="0"/>
        <w:keepLines w:val="0"/>
        <w:pageBreakBefore w:val="0"/>
        <w:widowControl w:val="0"/>
        <w:kinsoku/>
        <w:wordWrap/>
        <w:overflowPunct/>
        <w:topLinePunct w:val="0"/>
        <w:autoSpaceDE/>
        <w:autoSpaceDN/>
        <w:bidi w:val="0"/>
        <w:adjustRightInd/>
        <w:snapToGrid/>
        <w:spacing w:before="165" w:beforeLines="50" w:line="460" w:lineRule="exact"/>
        <w:jc w:val="center"/>
        <w:textAlignment w:val="auto"/>
        <w:rPr>
          <w:rFonts w:hint="default" w:ascii="仿宋_GB2312" w:hAnsi="Calibri" w:eastAsia="仿宋_GB2312" w:cs="仿宋_GB2312"/>
          <w:b/>
          <w:bCs/>
          <w:color w:val="auto"/>
          <w:kern w:val="2"/>
          <w:sz w:val="28"/>
          <w:szCs w:val="28"/>
          <w:highlight w:val="none"/>
          <w:lang w:val="en-US" w:eastAsia="zh-CN" w:bidi="ar-SA"/>
        </w:rPr>
      </w:pPr>
    </w:p>
    <w:p w14:paraId="3F94F097">
      <w:pPr>
        <w:pStyle w:val="3"/>
        <w:keepNext w:val="0"/>
        <w:keepLines w:val="0"/>
        <w:pageBreakBefore w:val="0"/>
        <w:widowControl w:val="0"/>
        <w:kinsoku/>
        <w:wordWrap/>
        <w:overflowPunct/>
        <w:topLinePunct w:val="0"/>
        <w:autoSpaceDE/>
        <w:autoSpaceDN/>
        <w:bidi w:val="0"/>
        <w:adjustRightInd/>
        <w:snapToGrid/>
        <w:spacing w:before="165" w:beforeLines="50" w:line="460" w:lineRule="exact"/>
        <w:jc w:val="center"/>
        <w:textAlignment w:val="auto"/>
        <w:rPr>
          <w:rFonts w:hint="eastAsia" w:ascii="仿宋_GB2312" w:hAnsi="Calibri" w:eastAsia="仿宋_GB2312" w:cs="仿宋_GB2312"/>
          <w:b/>
          <w:bCs/>
          <w:color w:val="auto"/>
          <w:kern w:val="2"/>
          <w:sz w:val="28"/>
          <w:szCs w:val="28"/>
          <w:highlight w:val="none"/>
          <w:lang w:val="en-US" w:eastAsia="zh-CN" w:bidi="ar-SA"/>
        </w:rPr>
      </w:pPr>
      <w:r>
        <w:rPr>
          <w:rFonts w:hint="eastAsia" w:ascii="仿宋_GB2312" w:hAnsi="Calibri" w:eastAsia="仿宋_GB2312" w:cs="仿宋_GB2312"/>
          <w:b/>
          <w:bCs/>
          <w:color w:val="auto"/>
          <w:kern w:val="2"/>
          <w:sz w:val="28"/>
          <w:szCs w:val="28"/>
          <w:highlight w:val="none"/>
          <w:lang w:val="en-US" w:eastAsia="zh-CN" w:bidi="ar-SA"/>
        </w:rPr>
        <w:t>表5-1  项目主要建设内容、期限完成情况表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5"/>
        <w:gridCol w:w="1131"/>
        <w:gridCol w:w="3557"/>
        <w:gridCol w:w="2765"/>
        <w:gridCol w:w="696"/>
      </w:tblGrid>
      <w:tr w14:paraId="21F81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695" w:type="dxa"/>
            <w:tcBorders>
              <w:left w:val="nil"/>
            </w:tcBorders>
            <w:shd w:val="clear" w:color="auto" w:fill="D7D7D7" w:themeFill="background1" w:themeFillShade="D8"/>
            <w:vAlign w:val="center"/>
          </w:tcPr>
          <w:p w14:paraId="36B210C9">
            <w:pPr>
              <w:pStyle w:val="11"/>
              <w:bidi w:val="0"/>
              <w:jc w:val="center"/>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序号</w:t>
            </w:r>
          </w:p>
        </w:tc>
        <w:tc>
          <w:tcPr>
            <w:tcW w:w="1131" w:type="dxa"/>
            <w:tcBorders>
              <w:left w:val="single" w:color="auto" w:sz="4" w:space="0"/>
              <w:right w:val="single" w:color="000000" w:sz="4" w:space="0"/>
            </w:tcBorders>
            <w:shd w:val="clear" w:color="auto" w:fill="D7D7D7" w:themeFill="background1" w:themeFillShade="D8"/>
            <w:vAlign w:val="center"/>
          </w:tcPr>
          <w:p w14:paraId="5CC9B7F9">
            <w:pPr>
              <w:pStyle w:val="11"/>
              <w:bidi w:val="0"/>
              <w:jc w:val="center"/>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项目名称</w:t>
            </w:r>
          </w:p>
        </w:tc>
        <w:tc>
          <w:tcPr>
            <w:tcW w:w="3557" w:type="dxa"/>
            <w:tcBorders>
              <w:left w:val="single" w:color="000000" w:sz="4" w:space="0"/>
            </w:tcBorders>
            <w:shd w:val="clear" w:color="auto" w:fill="D7D7D7" w:themeFill="background1" w:themeFillShade="D8"/>
            <w:vAlign w:val="center"/>
          </w:tcPr>
          <w:p w14:paraId="52CDB006">
            <w:pPr>
              <w:pStyle w:val="11"/>
              <w:bidi w:val="0"/>
              <w:jc w:val="center"/>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计划情况</w:t>
            </w:r>
          </w:p>
        </w:tc>
        <w:tc>
          <w:tcPr>
            <w:tcW w:w="2765" w:type="dxa"/>
            <w:shd w:val="clear" w:color="auto" w:fill="D7D7D7" w:themeFill="background1" w:themeFillShade="D8"/>
            <w:vAlign w:val="center"/>
          </w:tcPr>
          <w:p w14:paraId="40A4C919">
            <w:pPr>
              <w:pStyle w:val="11"/>
              <w:bidi w:val="0"/>
              <w:jc w:val="center"/>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实际完成情况</w:t>
            </w:r>
          </w:p>
        </w:tc>
        <w:tc>
          <w:tcPr>
            <w:tcW w:w="696" w:type="dxa"/>
            <w:tcBorders>
              <w:right w:val="nil"/>
            </w:tcBorders>
            <w:shd w:val="clear" w:color="auto" w:fill="D7D7D7" w:themeFill="background1" w:themeFillShade="D8"/>
            <w:vAlign w:val="center"/>
          </w:tcPr>
          <w:p w14:paraId="3C86380C">
            <w:pPr>
              <w:pStyle w:val="11"/>
              <w:bidi w:val="0"/>
              <w:jc w:val="center"/>
              <w:rPr>
                <w:rFonts w:hint="default"/>
                <w:b/>
                <w:bCs/>
                <w:color w:val="auto"/>
                <w:sz w:val="18"/>
                <w:szCs w:val="18"/>
                <w:highlight w:val="none"/>
                <w:lang w:val="en-US" w:eastAsia="zh-CN"/>
              </w:rPr>
            </w:pPr>
            <w:r>
              <w:rPr>
                <w:rFonts w:hint="eastAsia" w:ascii="仿宋_GB2312" w:hAnsi="仿宋_GB2312" w:eastAsia="仿宋_GB2312" w:cs="仿宋_GB2312"/>
                <w:b/>
                <w:bCs/>
                <w:color w:val="auto"/>
                <w:sz w:val="21"/>
                <w:szCs w:val="21"/>
                <w:highlight w:val="none"/>
                <w:lang w:val="en-US" w:eastAsia="zh-CN"/>
              </w:rPr>
              <w:t>备注</w:t>
            </w:r>
          </w:p>
        </w:tc>
      </w:tr>
      <w:tr w14:paraId="697D5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3" w:hRule="atLeast"/>
        </w:trPr>
        <w:tc>
          <w:tcPr>
            <w:tcW w:w="695" w:type="dxa"/>
            <w:tcBorders>
              <w:left w:val="nil"/>
              <w:bottom w:val="single" w:color="000000" w:sz="4" w:space="0"/>
            </w:tcBorders>
            <w:shd w:val="clear" w:color="auto" w:fill="auto"/>
            <w:vAlign w:val="center"/>
          </w:tcPr>
          <w:p w14:paraId="70B917B8">
            <w:pPr>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1</w:t>
            </w:r>
          </w:p>
        </w:tc>
        <w:tc>
          <w:tcPr>
            <w:tcW w:w="1131" w:type="dxa"/>
            <w:tcBorders>
              <w:left w:val="single" w:color="auto" w:sz="4" w:space="0"/>
              <w:bottom w:val="single" w:color="000000" w:sz="4" w:space="0"/>
              <w:right w:val="single" w:color="000000" w:sz="4" w:space="0"/>
            </w:tcBorders>
            <w:shd w:val="clear" w:color="auto" w:fill="auto"/>
            <w:vAlign w:val="center"/>
          </w:tcPr>
          <w:p w14:paraId="401501F8">
            <w:pPr>
              <w:pStyle w:val="11"/>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建设内容</w:t>
            </w:r>
          </w:p>
        </w:tc>
        <w:tc>
          <w:tcPr>
            <w:tcW w:w="3557" w:type="dxa"/>
            <w:tcBorders>
              <w:left w:val="single" w:color="000000" w:sz="4" w:space="0"/>
              <w:bottom w:val="single" w:color="000000" w:sz="4" w:space="0"/>
            </w:tcBorders>
            <w:shd w:val="clear" w:color="auto" w:fill="auto"/>
            <w:vAlign w:val="center"/>
          </w:tcPr>
          <w:p w14:paraId="0ECEA0FE">
            <w:pPr>
              <w:pStyle w:val="11"/>
              <w:bidi w:val="0"/>
              <w:jc w:val="left"/>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迎宾路南段道路宽度为13.5</w:t>
            </w:r>
            <w:r>
              <w:rPr>
                <w:rFonts w:hint="eastAsia" w:ascii="仿宋" w:hAnsi="仿宋" w:eastAsia="仿宋" w:cs="仿宋"/>
                <w:color w:val="auto"/>
                <w:sz w:val="21"/>
                <w:szCs w:val="21"/>
                <w:highlight w:val="none"/>
                <w:lang w:val="en-US" w:eastAsia="zh-CN"/>
              </w:rPr>
              <w:t>~</w:t>
            </w:r>
            <w:r>
              <w:rPr>
                <w:rFonts w:hint="eastAsia" w:ascii="仿宋_GB2312" w:hAnsi="仿宋_GB2312" w:eastAsia="仿宋_GB2312" w:cs="仿宋_GB2312"/>
                <w:color w:val="auto"/>
                <w:sz w:val="21"/>
                <w:szCs w:val="21"/>
                <w:highlight w:val="none"/>
                <w:lang w:val="en-US" w:eastAsia="zh-CN"/>
              </w:rPr>
              <w:t>12.5m，长度602m;雨水工程管径为1000mm，管道长度为605m，污水管径为600mm，污水管道长614米，新建道路西侧人行道上布置路灯，路灯高度为8m，间距为30m，共21套。</w:t>
            </w:r>
          </w:p>
        </w:tc>
        <w:tc>
          <w:tcPr>
            <w:tcW w:w="2765" w:type="dxa"/>
            <w:tcBorders>
              <w:bottom w:val="single" w:color="000000" w:sz="4" w:space="0"/>
            </w:tcBorders>
            <w:shd w:val="clear" w:color="auto" w:fill="auto"/>
            <w:vAlign w:val="center"/>
          </w:tcPr>
          <w:p w14:paraId="4DC6CC0A">
            <w:pPr>
              <w:pStyle w:val="11"/>
              <w:bidi w:val="0"/>
              <w:jc w:val="left"/>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迎宾路南段道路宽度为13.5</w:t>
            </w:r>
            <w:r>
              <w:rPr>
                <w:rFonts w:hint="eastAsia" w:ascii="仿宋" w:hAnsi="仿宋" w:eastAsia="仿宋" w:cs="仿宋"/>
                <w:color w:val="auto"/>
                <w:sz w:val="21"/>
                <w:szCs w:val="21"/>
                <w:highlight w:val="none"/>
                <w:lang w:val="en-US" w:eastAsia="zh-CN"/>
              </w:rPr>
              <w:t>~</w:t>
            </w:r>
            <w:r>
              <w:rPr>
                <w:rFonts w:hint="eastAsia" w:ascii="仿宋_GB2312" w:hAnsi="仿宋_GB2312" w:eastAsia="仿宋_GB2312" w:cs="仿宋_GB2312"/>
                <w:color w:val="auto"/>
                <w:sz w:val="21"/>
                <w:szCs w:val="21"/>
                <w:highlight w:val="none"/>
                <w:lang w:val="en-US" w:eastAsia="zh-CN"/>
              </w:rPr>
              <w:t>12.5m，长度602m;雨水工程管径1000mm，管道长度为605m，污水管径为600mm，污水管道长614米，新建道路西侧人行道上布置路灯，路灯高度为8m，间距为30m，共21套。</w:t>
            </w:r>
          </w:p>
        </w:tc>
        <w:tc>
          <w:tcPr>
            <w:tcW w:w="696" w:type="dxa"/>
            <w:tcBorders>
              <w:bottom w:val="single" w:color="000000" w:sz="4" w:space="0"/>
              <w:right w:val="nil"/>
            </w:tcBorders>
            <w:shd w:val="clear" w:color="auto" w:fill="auto"/>
            <w:vAlign w:val="center"/>
          </w:tcPr>
          <w:p w14:paraId="384C0159">
            <w:pPr>
              <w:pStyle w:val="11"/>
              <w:bidi w:val="0"/>
              <w:jc w:val="center"/>
              <w:rPr>
                <w:rFonts w:hint="default"/>
                <w:color w:val="auto"/>
                <w:sz w:val="18"/>
                <w:szCs w:val="18"/>
                <w:highlight w:val="none"/>
                <w:lang w:val="en-US" w:eastAsia="zh-CN"/>
              </w:rPr>
            </w:pPr>
          </w:p>
        </w:tc>
      </w:tr>
      <w:tr w14:paraId="62B71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3" w:hRule="atLeast"/>
        </w:trPr>
        <w:tc>
          <w:tcPr>
            <w:tcW w:w="695" w:type="dxa"/>
            <w:tcBorders>
              <w:top w:val="single" w:color="000000" w:sz="4" w:space="0"/>
              <w:left w:val="nil"/>
              <w:bottom w:val="single" w:color="000000" w:sz="4" w:space="0"/>
            </w:tcBorders>
            <w:shd w:val="clear" w:color="auto" w:fill="auto"/>
            <w:vAlign w:val="center"/>
          </w:tcPr>
          <w:p w14:paraId="42DCEFAD">
            <w:pPr>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w:t>
            </w:r>
          </w:p>
        </w:tc>
        <w:tc>
          <w:tcPr>
            <w:tcW w:w="1131" w:type="dxa"/>
            <w:tcBorders>
              <w:top w:val="single" w:color="000000" w:sz="4" w:space="0"/>
              <w:left w:val="single" w:color="auto" w:sz="4" w:space="0"/>
              <w:bottom w:val="single" w:color="000000" w:sz="4" w:space="0"/>
              <w:right w:val="single" w:color="000000" w:sz="4" w:space="0"/>
            </w:tcBorders>
            <w:shd w:val="clear" w:color="auto" w:fill="auto"/>
            <w:vAlign w:val="center"/>
          </w:tcPr>
          <w:p w14:paraId="5F6E0A4E">
            <w:pPr>
              <w:pStyle w:val="11"/>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建设工期</w:t>
            </w:r>
          </w:p>
        </w:tc>
        <w:tc>
          <w:tcPr>
            <w:tcW w:w="3557" w:type="dxa"/>
            <w:tcBorders>
              <w:top w:val="single" w:color="000000" w:sz="4" w:space="0"/>
              <w:left w:val="single" w:color="000000" w:sz="4" w:space="0"/>
              <w:bottom w:val="single" w:color="000000" w:sz="4" w:space="0"/>
            </w:tcBorders>
            <w:shd w:val="clear" w:color="auto" w:fill="auto"/>
            <w:vAlign w:val="center"/>
          </w:tcPr>
          <w:p w14:paraId="7C42062E">
            <w:pPr>
              <w:pStyle w:val="11"/>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2024年3月至2024年12月</w:t>
            </w:r>
          </w:p>
        </w:tc>
        <w:tc>
          <w:tcPr>
            <w:tcW w:w="2765" w:type="dxa"/>
            <w:tcBorders>
              <w:top w:val="single" w:color="000000" w:sz="4" w:space="0"/>
              <w:bottom w:val="single" w:color="000000" w:sz="4" w:space="0"/>
            </w:tcBorders>
            <w:shd w:val="clear" w:color="auto" w:fill="auto"/>
            <w:vAlign w:val="center"/>
          </w:tcPr>
          <w:p w14:paraId="7E08F5DD">
            <w:pPr>
              <w:pStyle w:val="11"/>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2024年9月</w:t>
            </w:r>
            <w:r>
              <w:rPr>
                <w:rFonts w:hint="eastAsia" w:ascii="仿宋_GB2312" w:hAnsi="仿宋_GB2312" w:eastAsia="仿宋_GB2312" w:cs="仿宋_GB2312"/>
                <w:color w:val="auto"/>
                <w:sz w:val="21"/>
                <w:szCs w:val="21"/>
                <w:highlight w:val="none"/>
                <w:lang w:val="zh-CN" w:eastAsia="zh-CN"/>
              </w:rPr>
              <w:t>至</w:t>
            </w:r>
            <w:r>
              <w:rPr>
                <w:rFonts w:hint="eastAsia" w:ascii="仿宋_GB2312" w:hAnsi="仿宋_GB2312" w:eastAsia="仿宋_GB2312" w:cs="仿宋_GB2312"/>
                <w:color w:val="auto"/>
                <w:sz w:val="21"/>
                <w:szCs w:val="21"/>
                <w:highlight w:val="none"/>
                <w:lang w:val="en-US" w:eastAsia="zh-CN"/>
              </w:rPr>
              <w:t>2025年1月</w:t>
            </w:r>
          </w:p>
        </w:tc>
        <w:tc>
          <w:tcPr>
            <w:tcW w:w="696" w:type="dxa"/>
            <w:tcBorders>
              <w:top w:val="single" w:color="000000" w:sz="4" w:space="0"/>
              <w:bottom w:val="single" w:color="000000" w:sz="4" w:space="0"/>
              <w:right w:val="nil"/>
            </w:tcBorders>
            <w:shd w:val="clear" w:color="auto" w:fill="auto"/>
            <w:vAlign w:val="center"/>
          </w:tcPr>
          <w:p w14:paraId="1C6CAC76">
            <w:pPr>
              <w:pStyle w:val="11"/>
              <w:bidi w:val="0"/>
              <w:jc w:val="center"/>
              <w:rPr>
                <w:rFonts w:hint="default"/>
                <w:color w:val="auto"/>
                <w:sz w:val="21"/>
                <w:szCs w:val="21"/>
                <w:highlight w:val="none"/>
                <w:lang w:val="en-US" w:eastAsia="zh-CN"/>
              </w:rPr>
            </w:pPr>
          </w:p>
        </w:tc>
      </w:tr>
    </w:tbl>
    <w:p w14:paraId="5A346121">
      <w:pPr>
        <w:pStyle w:val="3"/>
        <w:keepNext w:val="0"/>
        <w:keepLines w:val="0"/>
        <w:pageBreakBefore w:val="0"/>
        <w:widowControl w:val="0"/>
        <w:kinsoku/>
        <w:wordWrap/>
        <w:overflowPunct/>
        <w:topLinePunct w:val="0"/>
        <w:autoSpaceDE/>
        <w:autoSpaceDN/>
        <w:bidi w:val="0"/>
        <w:adjustRightInd/>
        <w:snapToGrid/>
        <w:spacing w:before="165" w:beforeLines="50" w:line="460" w:lineRule="exact"/>
        <w:jc w:val="center"/>
        <w:textAlignment w:val="auto"/>
        <w:rPr>
          <w:rFonts w:hint="default" w:ascii="仿宋" w:hAnsi="仿宋" w:eastAsia="仿宋" w:cs="仿宋"/>
          <w:b/>
          <w:bCs/>
          <w:color w:val="auto"/>
          <w:sz w:val="28"/>
          <w:szCs w:val="28"/>
          <w:lang w:val="en-US" w:eastAsia="zh-CN"/>
        </w:rPr>
      </w:pPr>
      <w:r>
        <w:rPr>
          <w:rFonts w:hint="eastAsia" w:ascii="仿宋_GB2312" w:hAnsi="Calibri" w:eastAsia="仿宋_GB2312" w:cs="仿宋_GB2312"/>
          <w:b/>
          <w:bCs/>
          <w:color w:val="auto"/>
          <w:kern w:val="2"/>
          <w:sz w:val="28"/>
          <w:szCs w:val="28"/>
          <w:highlight w:val="none"/>
          <w:lang w:val="en-US" w:eastAsia="zh-CN" w:bidi="ar-SA"/>
        </w:rPr>
        <w:t xml:space="preserve">表5-2  </w:t>
      </w:r>
      <w:r>
        <w:rPr>
          <w:rFonts w:hint="eastAsia" w:ascii="仿宋" w:hAnsi="仿宋" w:eastAsia="仿宋" w:cs="仿宋"/>
          <w:b/>
          <w:bCs/>
          <w:sz w:val="28"/>
          <w:szCs w:val="28"/>
          <w:lang w:val="en-US" w:eastAsia="zh-CN"/>
        </w:rPr>
        <w:t xml:space="preserve">  项目</w:t>
      </w:r>
      <w:r>
        <w:rPr>
          <w:rFonts w:hint="eastAsia" w:ascii="仿宋" w:hAnsi="仿宋" w:eastAsia="仿宋" w:cs="仿宋"/>
          <w:b/>
          <w:bCs/>
          <w:color w:val="auto"/>
          <w:sz w:val="28"/>
          <w:szCs w:val="28"/>
          <w:lang w:val="en-US" w:eastAsia="zh-CN"/>
        </w:rPr>
        <w:t>绩效目标任务完成情况表</w:t>
      </w:r>
    </w:p>
    <w:tbl>
      <w:tblPr>
        <w:tblStyle w:val="16"/>
        <w:tblW w:w="905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53"/>
        <w:gridCol w:w="1211"/>
        <w:gridCol w:w="3102"/>
        <w:gridCol w:w="1487"/>
        <w:gridCol w:w="1586"/>
        <w:gridCol w:w="714"/>
      </w:tblGrid>
      <w:tr w14:paraId="20DC13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2" w:hRule="atLeast"/>
          <w:tblHeader/>
          <w:jc w:val="center"/>
        </w:trPr>
        <w:tc>
          <w:tcPr>
            <w:tcW w:w="953" w:type="dxa"/>
            <w:vMerge w:val="restart"/>
            <w:shd w:val="clear" w:color="auto" w:fill="auto"/>
            <w:noWrap w:val="0"/>
            <w:vAlign w:val="center"/>
          </w:tcPr>
          <w:p w14:paraId="63C3B23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一级</w:t>
            </w:r>
          </w:p>
          <w:p w14:paraId="1AD5194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sz w:val="21"/>
                <w:szCs w:val="21"/>
                <w:highlight w:val="none"/>
                <w:vertAlign w:val="baseline"/>
                <w:lang w:val="en-US" w:eastAsia="zh-CN"/>
              </w:rPr>
              <w:t>指标</w:t>
            </w:r>
          </w:p>
        </w:tc>
        <w:tc>
          <w:tcPr>
            <w:tcW w:w="1211" w:type="dxa"/>
            <w:vMerge w:val="restart"/>
            <w:shd w:val="clear" w:color="auto" w:fill="auto"/>
            <w:noWrap w:val="0"/>
            <w:vAlign w:val="center"/>
          </w:tcPr>
          <w:p w14:paraId="7F97469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二级指标</w:t>
            </w:r>
          </w:p>
        </w:tc>
        <w:tc>
          <w:tcPr>
            <w:tcW w:w="3102" w:type="dxa"/>
            <w:vMerge w:val="restart"/>
            <w:shd w:val="clear" w:color="auto" w:fill="auto"/>
            <w:noWrap w:val="0"/>
            <w:vAlign w:val="center"/>
          </w:tcPr>
          <w:p w14:paraId="3564675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三级指标</w:t>
            </w:r>
          </w:p>
        </w:tc>
        <w:tc>
          <w:tcPr>
            <w:tcW w:w="1487" w:type="dxa"/>
            <w:vMerge w:val="restart"/>
            <w:shd w:val="clear" w:color="auto" w:fill="auto"/>
            <w:noWrap w:val="0"/>
            <w:vAlign w:val="center"/>
          </w:tcPr>
          <w:p w14:paraId="2954F74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目标值</w:t>
            </w:r>
          </w:p>
        </w:tc>
        <w:tc>
          <w:tcPr>
            <w:tcW w:w="1586" w:type="dxa"/>
            <w:vMerge w:val="restart"/>
            <w:shd w:val="clear" w:color="auto" w:fill="auto"/>
            <w:noWrap w:val="0"/>
            <w:vAlign w:val="center"/>
          </w:tcPr>
          <w:p w14:paraId="254FAC4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完成值</w:t>
            </w:r>
          </w:p>
        </w:tc>
        <w:tc>
          <w:tcPr>
            <w:tcW w:w="714" w:type="dxa"/>
            <w:vMerge w:val="restart"/>
            <w:shd w:val="clear" w:color="auto" w:fill="auto"/>
            <w:noWrap w:val="0"/>
            <w:vAlign w:val="center"/>
          </w:tcPr>
          <w:p w14:paraId="5AF1B53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完成情况</w:t>
            </w:r>
          </w:p>
        </w:tc>
      </w:tr>
      <w:tr w14:paraId="225B08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953" w:type="dxa"/>
            <w:vMerge w:val="continue"/>
            <w:shd w:val="clear" w:color="auto" w:fill="auto"/>
            <w:noWrap w:val="0"/>
            <w:vAlign w:val="center"/>
          </w:tcPr>
          <w:p w14:paraId="7E4611F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1211" w:type="dxa"/>
            <w:vMerge w:val="continue"/>
            <w:shd w:val="clear" w:color="auto" w:fill="auto"/>
            <w:noWrap w:val="0"/>
            <w:vAlign w:val="center"/>
          </w:tcPr>
          <w:p w14:paraId="1534939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3102" w:type="dxa"/>
            <w:vMerge w:val="continue"/>
            <w:shd w:val="clear" w:color="auto" w:fill="auto"/>
            <w:noWrap w:val="0"/>
            <w:vAlign w:val="center"/>
          </w:tcPr>
          <w:p w14:paraId="1EF1619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1487" w:type="dxa"/>
            <w:vMerge w:val="continue"/>
            <w:shd w:val="clear" w:color="auto" w:fill="auto"/>
            <w:noWrap w:val="0"/>
            <w:vAlign w:val="center"/>
          </w:tcPr>
          <w:p w14:paraId="2B7B861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1586" w:type="dxa"/>
            <w:vMerge w:val="continue"/>
            <w:shd w:val="clear" w:color="auto" w:fill="auto"/>
            <w:noWrap w:val="0"/>
            <w:vAlign w:val="center"/>
          </w:tcPr>
          <w:p w14:paraId="2E5732C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714" w:type="dxa"/>
            <w:vMerge w:val="continue"/>
            <w:shd w:val="clear" w:color="auto" w:fill="auto"/>
            <w:noWrap w:val="0"/>
            <w:vAlign w:val="center"/>
          </w:tcPr>
          <w:p w14:paraId="7289AF4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r>
      <w:tr w14:paraId="300DA3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953" w:type="dxa"/>
            <w:vMerge w:val="restart"/>
            <w:shd w:val="clear" w:color="auto" w:fill="auto"/>
            <w:noWrap w:val="0"/>
            <w:vAlign w:val="center"/>
          </w:tcPr>
          <w:p w14:paraId="28889A1E">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产出指标</w:t>
            </w:r>
          </w:p>
        </w:tc>
        <w:tc>
          <w:tcPr>
            <w:tcW w:w="1211" w:type="dxa"/>
            <w:vMerge w:val="restart"/>
            <w:shd w:val="clear" w:color="auto" w:fill="auto"/>
            <w:noWrap w:val="0"/>
            <w:vAlign w:val="center"/>
          </w:tcPr>
          <w:p w14:paraId="2A59ADF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数量指标</w:t>
            </w:r>
          </w:p>
        </w:tc>
        <w:tc>
          <w:tcPr>
            <w:tcW w:w="3102" w:type="dxa"/>
            <w:shd w:val="clear" w:color="auto" w:fill="auto"/>
            <w:noWrap w:val="0"/>
            <w:vAlign w:val="center"/>
          </w:tcPr>
          <w:p w14:paraId="0B4F9686">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sz w:val="21"/>
                <w:szCs w:val="21"/>
                <w:lang w:val="en-US" w:eastAsia="zh-CN"/>
              </w:rPr>
              <w:t>道路硬化长度</w:t>
            </w:r>
          </w:p>
        </w:tc>
        <w:tc>
          <w:tcPr>
            <w:tcW w:w="1487" w:type="dxa"/>
            <w:shd w:val="clear" w:color="auto" w:fill="auto"/>
            <w:noWrap w:val="0"/>
            <w:vAlign w:val="center"/>
          </w:tcPr>
          <w:p w14:paraId="003F73E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602米</w:t>
            </w:r>
          </w:p>
        </w:tc>
        <w:tc>
          <w:tcPr>
            <w:tcW w:w="1586" w:type="dxa"/>
            <w:shd w:val="clear" w:color="auto" w:fill="auto"/>
            <w:noWrap w:val="0"/>
            <w:vAlign w:val="center"/>
          </w:tcPr>
          <w:p w14:paraId="53E347C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602米</w:t>
            </w:r>
          </w:p>
        </w:tc>
        <w:tc>
          <w:tcPr>
            <w:tcW w:w="714" w:type="dxa"/>
            <w:shd w:val="clear" w:color="auto" w:fill="auto"/>
            <w:noWrap w:val="0"/>
            <w:vAlign w:val="center"/>
          </w:tcPr>
          <w:p w14:paraId="4ADE5C5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6BE7C4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53" w:type="dxa"/>
            <w:vMerge w:val="continue"/>
            <w:shd w:val="clear" w:color="auto" w:fill="auto"/>
            <w:noWrap w:val="0"/>
            <w:vAlign w:val="center"/>
          </w:tcPr>
          <w:p w14:paraId="5C907C93">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1794349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3102" w:type="dxa"/>
            <w:shd w:val="clear" w:color="auto" w:fill="auto"/>
            <w:noWrap w:val="0"/>
            <w:vAlign w:val="center"/>
          </w:tcPr>
          <w:p w14:paraId="5113C315">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sz w:val="21"/>
                <w:szCs w:val="21"/>
                <w:lang w:val="en-US" w:eastAsia="zh-CN"/>
              </w:rPr>
              <w:t>排水管道长度</w:t>
            </w:r>
          </w:p>
        </w:tc>
        <w:tc>
          <w:tcPr>
            <w:tcW w:w="1487" w:type="dxa"/>
            <w:shd w:val="clear" w:color="auto" w:fill="auto"/>
            <w:noWrap w:val="0"/>
            <w:vAlign w:val="center"/>
          </w:tcPr>
          <w:p w14:paraId="4B61916F">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605米</w:t>
            </w:r>
          </w:p>
        </w:tc>
        <w:tc>
          <w:tcPr>
            <w:tcW w:w="1586" w:type="dxa"/>
            <w:shd w:val="clear" w:color="auto" w:fill="auto"/>
            <w:noWrap w:val="0"/>
            <w:vAlign w:val="center"/>
          </w:tcPr>
          <w:p w14:paraId="3826ACF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605米</w:t>
            </w:r>
          </w:p>
        </w:tc>
        <w:tc>
          <w:tcPr>
            <w:tcW w:w="714" w:type="dxa"/>
            <w:shd w:val="clear" w:color="auto" w:fill="auto"/>
            <w:noWrap w:val="0"/>
            <w:vAlign w:val="center"/>
          </w:tcPr>
          <w:p w14:paraId="30C5B88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1DC7B0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953" w:type="dxa"/>
            <w:vMerge w:val="continue"/>
            <w:shd w:val="clear" w:color="auto" w:fill="auto"/>
            <w:noWrap w:val="0"/>
            <w:vAlign w:val="center"/>
          </w:tcPr>
          <w:p w14:paraId="55499F4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049FB0F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3102" w:type="dxa"/>
            <w:shd w:val="clear" w:color="auto" w:fill="auto"/>
            <w:noWrap w:val="0"/>
            <w:vAlign w:val="center"/>
          </w:tcPr>
          <w:p w14:paraId="13116F3B">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污水管道长度</w:t>
            </w:r>
          </w:p>
        </w:tc>
        <w:tc>
          <w:tcPr>
            <w:tcW w:w="1487" w:type="dxa"/>
            <w:shd w:val="clear" w:color="auto" w:fill="auto"/>
            <w:noWrap w:val="0"/>
            <w:vAlign w:val="center"/>
          </w:tcPr>
          <w:p w14:paraId="3D78D59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614米</w:t>
            </w:r>
          </w:p>
        </w:tc>
        <w:tc>
          <w:tcPr>
            <w:tcW w:w="1586" w:type="dxa"/>
            <w:shd w:val="clear" w:color="auto" w:fill="auto"/>
            <w:noWrap w:val="0"/>
            <w:vAlign w:val="center"/>
          </w:tcPr>
          <w:p w14:paraId="75DED17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614米</w:t>
            </w:r>
          </w:p>
        </w:tc>
        <w:tc>
          <w:tcPr>
            <w:tcW w:w="714" w:type="dxa"/>
            <w:shd w:val="clear" w:color="auto" w:fill="auto"/>
            <w:noWrap w:val="0"/>
            <w:vAlign w:val="center"/>
          </w:tcPr>
          <w:p w14:paraId="7EB0AC6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21F248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953" w:type="dxa"/>
            <w:vMerge w:val="continue"/>
            <w:shd w:val="clear" w:color="auto" w:fill="auto"/>
            <w:noWrap w:val="0"/>
            <w:vAlign w:val="center"/>
          </w:tcPr>
          <w:p w14:paraId="55814FAB">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4A2D8D4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3102" w:type="dxa"/>
            <w:shd w:val="clear" w:color="auto" w:fill="auto"/>
            <w:noWrap w:val="0"/>
            <w:vAlign w:val="center"/>
          </w:tcPr>
          <w:p w14:paraId="07E914DA">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安装路灯</w:t>
            </w:r>
          </w:p>
        </w:tc>
        <w:tc>
          <w:tcPr>
            <w:tcW w:w="1487" w:type="dxa"/>
            <w:shd w:val="clear" w:color="auto" w:fill="auto"/>
            <w:noWrap w:val="0"/>
            <w:vAlign w:val="center"/>
          </w:tcPr>
          <w:p w14:paraId="078C56F0">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21套</w:t>
            </w:r>
          </w:p>
        </w:tc>
        <w:tc>
          <w:tcPr>
            <w:tcW w:w="1586" w:type="dxa"/>
            <w:shd w:val="clear" w:color="auto" w:fill="auto"/>
            <w:noWrap w:val="0"/>
            <w:vAlign w:val="center"/>
          </w:tcPr>
          <w:p w14:paraId="12D3DF2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21套</w:t>
            </w:r>
          </w:p>
        </w:tc>
        <w:tc>
          <w:tcPr>
            <w:tcW w:w="714" w:type="dxa"/>
            <w:shd w:val="clear" w:color="auto" w:fill="auto"/>
            <w:noWrap w:val="0"/>
            <w:vAlign w:val="center"/>
          </w:tcPr>
          <w:p w14:paraId="516EC9B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1D4264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53" w:type="dxa"/>
            <w:vMerge w:val="continue"/>
            <w:shd w:val="clear" w:color="auto" w:fill="auto"/>
            <w:noWrap w:val="0"/>
            <w:vAlign w:val="center"/>
          </w:tcPr>
          <w:p w14:paraId="4EEFA76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restart"/>
            <w:shd w:val="clear" w:color="auto" w:fill="auto"/>
            <w:noWrap w:val="0"/>
            <w:vAlign w:val="center"/>
          </w:tcPr>
          <w:p w14:paraId="60CC8AC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质量指标</w:t>
            </w:r>
          </w:p>
        </w:tc>
        <w:tc>
          <w:tcPr>
            <w:tcW w:w="3102" w:type="dxa"/>
            <w:shd w:val="clear" w:color="auto" w:fill="auto"/>
            <w:noWrap w:val="0"/>
            <w:vAlign w:val="center"/>
          </w:tcPr>
          <w:p w14:paraId="7BEA08D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项目验收合格率</w:t>
            </w:r>
          </w:p>
        </w:tc>
        <w:tc>
          <w:tcPr>
            <w:tcW w:w="1487" w:type="dxa"/>
            <w:shd w:val="clear" w:color="auto" w:fill="auto"/>
            <w:noWrap w:val="0"/>
            <w:vAlign w:val="center"/>
          </w:tcPr>
          <w:p w14:paraId="4BC473E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100%</w:t>
            </w:r>
          </w:p>
        </w:tc>
        <w:tc>
          <w:tcPr>
            <w:tcW w:w="1586" w:type="dxa"/>
            <w:shd w:val="clear" w:color="auto" w:fill="auto"/>
            <w:noWrap w:val="0"/>
            <w:vAlign w:val="center"/>
          </w:tcPr>
          <w:p w14:paraId="1F9271C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尚未验收</w:t>
            </w:r>
          </w:p>
        </w:tc>
        <w:tc>
          <w:tcPr>
            <w:tcW w:w="714" w:type="dxa"/>
            <w:shd w:val="clear" w:color="auto" w:fill="auto"/>
            <w:noWrap w:val="0"/>
            <w:vAlign w:val="center"/>
          </w:tcPr>
          <w:p w14:paraId="258A3FB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4A5C9C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53" w:type="dxa"/>
            <w:vMerge w:val="continue"/>
            <w:shd w:val="clear" w:color="auto" w:fill="auto"/>
            <w:noWrap w:val="0"/>
            <w:vAlign w:val="center"/>
          </w:tcPr>
          <w:p w14:paraId="74D224C1">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0D48B3F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时效指标</w:t>
            </w:r>
          </w:p>
        </w:tc>
        <w:tc>
          <w:tcPr>
            <w:tcW w:w="3102" w:type="dxa"/>
            <w:shd w:val="clear" w:color="auto" w:fill="auto"/>
            <w:noWrap w:val="0"/>
            <w:vAlign w:val="center"/>
          </w:tcPr>
          <w:p w14:paraId="7CB4C58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项目完成时效</w:t>
            </w:r>
          </w:p>
        </w:tc>
        <w:tc>
          <w:tcPr>
            <w:tcW w:w="1487" w:type="dxa"/>
            <w:shd w:val="clear" w:color="auto" w:fill="auto"/>
            <w:noWrap w:val="0"/>
            <w:vAlign w:val="center"/>
          </w:tcPr>
          <w:p w14:paraId="134337B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2024.12</w:t>
            </w:r>
          </w:p>
        </w:tc>
        <w:tc>
          <w:tcPr>
            <w:tcW w:w="1586" w:type="dxa"/>
            <w:shd w:val="clear" w:color="auto" w:fill="auto"/>
            <w:noWrap w:val="0"/>
            <w:vAlign w:val="center"/>
          </w:tcPr>
          <w:p w14:paraId="1698EE8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2025.1</w:t>
            </w:r>
          </w:p>
        </w:tc>
        <w:tc>
          <w:tcPr>
            <w:tcW w:w="714" w:type="dxa"/>
            <w:shd w:val="clear" w:color="auto" w:fill="auto"/>
            <w:noWrap w:val="0"/>
            <w:vAlign w:val="center"/>
          </w:tcPr>
          <w:p w14:paraId="6A70BF4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default" w:ascii="Arial" w:hAnsi="Arial" w:eastAsia="仿宋_GB2312" w:cs="Arial"/>
                <w:b/>
                <w:bCs/>
                <w:color w:val="000000"/>
                <w:kern w:val="2"/>
                <w:sz w:val="21"/>
                <w:szCs w:val="21"/>
                <w:highlight w:val="none"/>
                <w:vertAlign w:val="baseline"/>
                <w:lang w:val="en-US" w:eastAsia="zh-CN" w:bidi="ar-SA"/>
              </w:rPr>
              <w:t>×</w:t>
            </w:r>
          </w:p>
        </w:tc>
      </w:tr>
      <w:tr w14:paraId="4958F4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953" w:type="dxa"/>
            <w:vMerge w:val="continue"/>
            <w:shd w:val="clear" w:color="auto" w:fill="auto"/>
            <w:noWrap w:val="0"/>
            <w:vAlign w:val="center"/>
          </w:tcPr>
          <w:p w14:paraId="0DAB7C24">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09AF66F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成本指标</w:t>
            </w:r>
          </w:p>
        </w:tc>
        <w:tc>
          <w:tcPr>
            <w:tcW w:w="3102" w:type="dxa"/>
            <w:shd w:val="clear" w:color="auto" w:fill="auto"/>
            <w:noWrap w:val="0"/>
            <w:vAlign w:val="center"/>
          </w:tcPr>
          <w:p w14:paraId="57B9FF9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项目建设投资（万元）</w:t>
            </w:r>
          </w:p>
        </w:tc>
        <w:tc>
          <w:tcPr>
            <w:tcW w:w="1487" w:type="dxa"/>
            <w:shd w:val="clear" w:color="auto" w:fill="auto"/>
            <w:noWrap w:val="0"/>
            <w:vAlign w:val="center"/>
          </w:tcPr>
          <w:p w14:paraId="6BC9AD84">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≤716</w:t>
            </w:r>
          </w:p>
        </w:tc>
        <w:tc>
          <w:tcPr>
            <w:tcW w:w="1586" w:type="dxa"/>
            <w:shd w:val="clear" w:color="auto" w:fill="auto"/>
            <w:noWrap w:val="0"/>
            <w:vAlign w:val="center"/>
          </w:tcPr>
          <w:p w14:paraId="5152FAB2">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lang w:val="en-US" w:eastAsia="zh-CN" w:bidi="ar-SA"/>
              </w:rPr>
              <w:t>400</w:t>
            </w:r>
          </w:p>
        </w:tc>
        <w:tc>
          <w:tcPr>
            <w:tcW w:w="714" w:type="dxa"/>
            <w:shd w:val="clear" w:color="auto" w:fill="auto"/>
            <w:noWrap w:val="0"/>
            <w:vAlign w:val="center"/>
          </w:tcPr>
          <w:p w14:paraId="27FFBD8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0DF239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4" w:hRule="atLeast"/>
          <w:jc w:val="center"/>
        </w:trPr>
        <w:tc>
          <w:tcPr>
            <w:tcW w:w="953" w:type="dxa"/>
            <w:vMerge w:val="restart"/>
            <w:shd w:val="clear" w:color="auto" w:fill="auto"/>
            <w:noWrap w:val="0"/>
            <w:vAlign w:val="center"/>
          </w:tcPr>
          <w:p w14:paraId="0317EEB6">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效益指标</w:t>
            </w:r>
          </w:p>
        </w:tc>
        <w:tc>
          <w:tcPr>
            <w:tcW w:w="1211" w:type="dxa"/>
            <w:shd w:val="clear" w:color="auto" w:fill="auto"/>
            <w:noWrap w:val="0"/>
            <w:vAlign w:val="center"/>
          </w:tcPr>
          <w:p w14:paraId="5AAE9E9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经济效益指标</w:t>
            </w:r>
          </w:p>
        </w:tc>
        <w:tc>
          <w:tcPr>
            <w:tcW w:w="3102" w:type="dxa"/>
            <w:shd w:val="clear" w:color="auto" w:fill="auto"/>
            <w:noWrap w:val="0"/>
            <w:vAlign w:val="center"/>
          </w:tcPr>
          <w:p w14:paraId="6ABD101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促进区域经济发展作用情况</w:t>
            </w:r>
          </w:p>
        </w:tc>
        <w:tc>
          <w:tcPr>
            <w:tcW w:w="1487" w:type="dxa"/>
            <w:shd w:val="clear" w:color="auto" w:fill="auto"/>
            <w:noWrap w:val="0"/>
            <w:vAlign w:val="center"/>
          </w:tcPr>
          <w:p w14:paraId="43B2091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86" w:type="dxa"/>
            <w:shd w:val="clear" w:color="auto" w:fill="auto"/>
            <w:noWrap w:val="0"/>
            <w:vAlign w:val="center"/>
          </w:tcPr>
          <w:p w14:paraId="0C581F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1E50591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2ED7C0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4" w:hRule="atLeast"/>
          <w:jc w:val="center"/>
        </w:trPr>
        <w:tc>
          <w:tcPr>
            <w:tcW w:w="953" w:type="dxa"/>
            <w:vMerge w:val="continue"/>
            <w:shd w:val="clear" w:color="auto" w:fill="auto"/>
            <w:noWrap w:val="0"/>
            <w:vAlign w:val="center"/>
          </w:tcPr>
          <w:p w14:paraId="40DAA09B">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restart"/>
            <w:shd w:val="clear" w:color="auto" w:fill="auto"/>
            <w:noWrap w:val="0"/>
            <w:vAlign w:val="center"/>
          </w:tcPr>
          <w:p w14:paraId="45114B3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社会效益指标</w:t>
            </w:r>
          </w:p>
        </w:tc>
        <w:tc>
          <w:tcPr>
            <w:tcW w:w="3102" w:type="dxa"/>
            <w:shd w:val="clear" w:color="auto" w:fill="auto"/>
            <w:noWrap w:val="0"/>
            <w:vAlign w:val="center"/>
          </w:tcPr>
          <w:p w14:paraId="1F40A6A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完善城镇基础设施作用情况</w:t>
            </w:r>
          </w:p>
        </w:tc>
        <w:tc>
          <w:tcPr>
            <w:tcW w:w="1487" w:type="dxa"/>
            <w:shd w:val="clear" w:color="auto" w:fill="auto"/>
            <w:noWrap w:val="0"/>
            <w:vAlign w:val="center"/>
          </w:tcPr>
          <w:p w14:paraId="48A421D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86" w:type="dxa"/>
            <w:shd w:val="clear" w:color="auto" w:fill="auto"/>
            <w:noWrap w:val="0"/>
            <w:vAlign w:val="center"/>
          </w:tcPr>
          <w:p w14:paraId="4279B74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27E30C6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4D5FC0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53" w:type="dxa"/>
            <w:vMerge w:val="continue"/>
            <w:shd w:val="clear" w:color="auto" w:fill="auto"/>
            <w:noWrap w:val="0"/>
            <w:vAlign w:val="center"/>
          </w:tcPr>
          <w:p w14:paraId="42DD843D">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20DAD2B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3102" w:type="dxa"/>
            <w:shd w:val="clear" w:color="auto" w:fill="auto"/>
            <w:noWrap w:val="0"/>
            <w:vAlign w:val="center"/>
          </w:tcPr>
          <w:p w14:paraId="0FA2070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促进城镇化建设作用情况</w:t>
            </w:r>
          </w:p>
        </w:tc>
        <w:tc>
          <w:tcPr>
            <w:tcW w:w="1487" w:type="dxa"/>
            <w:shd w:val="clear" w:color="auto" w:fill="auto"/>
            <w:noWrap w:val="0"/>
            <w:vAlign w:val="center"/>
          </w:tcPr>
          <w:p w14:paraId="24E7876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86" w:type="dxa"/>
            <w:shd w:val="clear" w:color="auto" w:fill="auto"/>
            <w:noWrap w:val="0"/>
            <w:vAlign w:val="center"/>
          </w:tcPr>
          <w:p w14:paraId="79C1770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5F0921F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7B993C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0" w:hRule="atLeast"/>
          <w:jc w:val="center"/>
        </w:trPr>
        <w:tc>
          <w:tcPr>
            <w:tcW w:w="953" w:type="dxa"/>
            <w:vMerge w:val="continue"/>
            <w:shd w:val="clear" w:color="auto" w:fill="auto"/>
            <w:noWrap w:val="0"/>
            <w:vAlign w:val="center"/>
          </w:tcPr>
          <w:p w14:paraId="22B58067">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001775A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3102" w:type="dxa"/>
            <w:shd w:val="clear" w:color="auto" w:fill="auto"/>
            <w:noWrap w:val="0"/>
            <w:vAlign w:val="center"/>
          </w:tcPr>
          <w:p w14:paraId="34CE9BC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改善当地的投资环境作用情况</w:t>
            </w:r>
          </w:p>
        </w:tc>
        <w:tc>
          <w:tcPr>
            <w:tcW w:w="1487" w:type="dxa"/>
            <w:shd w:val="clear" w:color="auto" w:fill="auto"/>
            <w:noWrap w:val="0"/>
            <w:vAlign w:val="center"/>
          </w:tcPr>
          <w:p w14:paraId="015485B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86" w:type="dxa"/>
            <w:shd w:val="clear" w:color="auto" w:fill="auto"/>
            <w:noWrap w:val="0"/>
            <w:vAlign w:val="center"/>
          </w:tcPr>
          <w:p w14:paraId="42052C9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0F6EF95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299E4B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2" w:hRule="atLeast"/>
          <w:jc w:val="center"/>
        </w:trPr>
        <w:tc>
          <w:tcPr>
            <w:tcW w:w="953" w:type="dxa"/>
            <w:vMerge w:val="continue"/>
            <w:shd w:val="clear" w:color="auto" w:fill="auto"/>
            <w:noWrap w:val="0"/>
            <w:vAlign w:val="center"/>
          </w:tcPr>
          <w:p w14:paraId="388B9770">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0D720E1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生态效益指标</w:t>
            </w:r>
          </w:p>
        </w:tc>
        <w:tc>
          <w:tcPr>
            <w:tcW w:w="3102" w:type="dxa"/>
            <w:shd w:val="clear" w:color="auto" w:fill="auto"/>
            <w:noWrap w:val="0"/>
            <w:vAlign w:val="center"/>
          </w:tcPr>
          <w:p w14:paraId="53CF5DD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生态环境方面的作用情况</w:t>
            </w:r>
          </w:p>
        </w:tc>
        <w:tc>
          <w:tcPr>
            <w:tcW w:w="1487" w:type="dxa"/>
            <w:shd w:val="clear" w:color="auto" w:fill="auto"/>
            <w:noWrap w:val="0"/>
            <w:vAlign w:val="center"/>
          </w:tcPr>
          <w:p w14:paraId="285AA20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86" w:type="dxa"/>
            <w:shd w:val="clear" w:color="auto" w:fill="auto"/>
            <w:noWrap w:val="0"/>
            <w:vAlign w:val="center"/>
          </w:tcPr>
          <w:p w14:paraId="106BCCA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70CC969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1F6278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53" w:type="dxa"/>
            <w:vMerge w:val="continue"/>
            <w:shd w:val="clear" w:color="auto" w:fill="auto"/>
            <w:noWrap w:val="0"/>
            <w:vAlign w:val="center"/>
          </w:tcPr>
          <w:p w14:paraId="1372B87C">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6391022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可持续影响指标</w:t>
            </w:r>
          </w:p>
        </w:tc>
        <w:tc>
          <w:tcPr>
            <w:tcW w:w="3102" w:type="dxa"/>
            <w:shd w:val="clear" w:color="auto" w:fill="auto"/>
            <w:noWrap w:val="0"/>
            <w:vAlign w:val="center"/>
          </w:tcPr>
          <w:p w14:paraId="05CB915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项目长效运管及可持续发展情况</w:t>
            </w:r>
          </w:p>
        </w:tc>
        <w:tc>
          <w:tcPr>
            <w:tcW w:w="1487" w:type="dxa"/>
            <w:shd w:val="clear" w:color="auto" w:fill="auto"/>
            <w:noWrap w:val="0"/>
            <w:vAlign w:val="center"/>
          </w:tcPr>
          <w:p w14:paraId="5166FF8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86" w:type="dxa"/>
            <w:shd w:val="clear" w:color="auto" w:fill="auto"/>
            <w:noWrap w:val="0"/>
            <w:vAlign w:val="center"/>
          </w:tcPr>
          <w:p w14:paraId="227D5DE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未建立</w:t>
            </w:r>
          </w:p>
        </w:tc>
        <w:tc>
          <w:tcPr>
            <w:tcW w:w="714" w:type="dxa"/>
            <w:shd w:val="clear" w:color="auto" w:fill="auto"/>
            <w:noWrap w:val="0"/>
            <w:vAlign w:val="center"/>
          </w:tcPr>
          <w:p w14:paraId="31EB7E1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14494D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53" w:type="dxa"/>
            <w:shd w:val="clear" w:color="auto" w:fill="auto"/>
            <w:noWrap w:val="0"/>
            <w:vAlign w:val="center"/>
          </w:tcPr>
          <w:p w14:paraId="5EF9DF1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满意度指标</w:t>
            </w:r>
          </w:p>
        </w:tc>
        <w:tc>
          <w:tcPr>
            <w:tcW w:w="1211" w:type="dxa"/>
            <w:shd w:val="clear" w:color="auto" w:fill="auto"/>
            <w:noWrap w:val="0"/>
            <w:vAlign w:val="center"/>
          </w:tcPr>
          <w:p w14:paraId="16409DE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服务对象满意度指标</w:t>
            </w:r>
          </w:p>
        </w:tc>
        <w:tc>
          <w:tcPr>
            <w:tcW w:w="3102" w:type="dxa"/>
            <w:shd w:val="clear" w:color="auto" w:fill="auto"/>
            <w:noWrap w:val="0"/>
            <w:vAlign w:val="center"/>
          </w:tcPr>
          <w:p w14:paraId="72911A4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人民群众对项目实施的满意度</w:t>
            </w:r>
          </w:p>
        </w:tc>
        <w:tc>
          <w:tcPr>
            <w:tcW w:w="1487" w:type="dxa"/>
            <w:shd w:val="clear" w:color="auto" w:fill="auto"/>
            <w:noWrap w:val="0"/>
            <w:vAlign w:val="center"/>
          </w:tcPr>
          <w:p w14:paraId="57D3B680">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≥95%</w:t>
            </w:r>
          </w:p>
        </w:tc>
        <w:tc>
          <w:tcPr>
            <w:tcW w:w="1586" w:type="dxa"/>
            <w:shd w:val="clear" w:color="auto" w:fill="auto"/>
            <w:noWrap w:val="0"/>
            <w:vAlign w:val="center"/>
          </w:tcPr>
          <w:p w14:paraId="45825D94">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96.2%</w:t>
            </w:r>
          </w:p>
        </w:tc>
        <w:tc>
          <w:tcPr>
            <w:tcW w:w="714" w:type="dxa"/>
            <w:shd w:val="clear" w:color="auto" w:fill="auto"/>
            <w:noWrap w:val="0"/>
            <w:vAlign w:val="center"/>
          </w:tcPr>
          <w:p w14:paraId="24929EC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green"/>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bl>
    <w:p w14:paraId="5A4F2188">
      <w:pPr>
        <w:keepNext w:val="0"/>
        <w:keepLines w:val="0"/>
        <w:pageBreakBefore w:val="0"/>
        <w:widowControl w:val="0"/>
        <w:kinsoku/>
        <w:wordWrap/>
        <w:overflowPunct/>
        <w:topLinePunct w:val="0"/>
        <w:autoSpaceDE/>
        <w:autoSpaceDN/>
        <w:bidi w:val="0"/>
        <w:adjustRightInd/>
        <w:snapToGrid/>
        <w:spacing w:line="480" w:lineRule="exact"/>
        <w:ind w:left="0" w:leftChars="0" w:firstLine="566" w:firstLineChars="200"/>
        <w:textAlignment w:val="auto"/>
        <w:rPr>
          <w:rFonts w:hint="default" w:ascii="仿宋_GB2312" w:hAnsi="Calibri" w:eastAsia="仿宋_GB2312" w:cs="仿宋_GB2312"/>
          <w:b/>
          <w:bCs/>
          <w:color w:val="auto"/>
          <w:kern w:val="2"/>
          <w:sz w:val="28"/>
          <w:szCs w:val="28"/>
          <w:highlight w:val="none"/>
          <w:lang w:val="en-US" w:eastAsia="zh-CN" w:bidi="ar-SA"/>
        </w:rPr>
      </w:pPr>
      <w:r>
        <w:rPr>
          <w:rFonts w:hint="eastAsia" w:ascii="楷体" w:hAnsi="楷体" w:eastAsia="楷体" w:cs="楷体"/>
          <w:color w:val="auto"/>
          <w:kern w:val="2"/>
          <w:sz w:val="28"/>
          <w:szCs w:val="28"/>
          <w:highlight w:val="none"/>
          <w:lang w:val="en-US" w:eastAsia="zh-CN" w:bidi="ar-SA"/>
        </w:rPr>
        <w:t>注：此</w:t>
      </w:r>
      <w:r>
        <w:rPr>
          <w:rFonts w:hint="eastAsia" w:ascii="楷体" w:hAnsi="楷体" w:eastAsia="楷体" w:cs="楷体"/>
          <w:color w:val="auto"/>
          <w:sz w:val="28"/>
          <w:szCs w:val="28"/>
          <w:highlight w:val="none"/>
          <w:lang w:val="en-US" w:eastAsia="zh-CN"/>
        </w:rPr>
        <w:t>表中部分指标是评价组根据项目单位提供有关资料、评价组收集到的相关资料以及本次评价检查情况而调整的绩效目标及其完成值。</w:t>
      </w:r>
    </w:p>
    <w:p w14:paraId="4072CBC6">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eastAsia" w:ascii="黑体" w:hAnsi="黑体" w:eastAsia="黑体" w:cs="黑体"/>
          <w:color w:val="auto"/>
          <w:sz w:val="32"/>
          <w:szCs w:val="32"/>
          <w:highlight w:val="none"/>
        </w:rPr>
      </w:pPr>
      <w:r>
        <w:rPr>
          <w:rFonts w:hint="eastAsia" w:ascii="仿宋" w:hAnsi="仿宋" w:eastAsia="仿宋" w:cs="仿宋"/>
          <w:color w:val="auto"/>
          <w:sz w:val="32"/>
          <w:szCs w:val="32"/>
          <w:highlight w:val="none"/>
          <w:lang w:val="en-US" w:eastAsia="zh-CN"/>
        </w:rPr>
        <w:t xml:space="preserve"> </w:t>
      </w: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、绩效评价工作开展情况</w:t>
      </w:r>
    </w:p>
    <w:p w14:paraId="5020CA8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zh-CN"/>
        </w:rPr>
      </w:pPr>
      <w:r>
        <w:rPr>
          <w:rFonts w:hint="eastAsia" w:ascii="楷体" w:hAnsi="楷体" w:eastAsia="楷体" w:cs="楷体"/>
          <w:b/>
          <w:bCs/>
          <w:color w:val="auto"/>
          <w:sz w:val="32"/>
          <w:szCs w:val="32"/>
          <w:highlight w:val="none"/>
          <w:lang w:val="en-US" w:eastAsia="zh-CN"/>
        </w:rPr>
        <w:t>（一）</w:t>
      </w:r>
      <w:r>
        <w:rPr>
          <w:rFonts w:hint="eastAsia" w:ascii="楷体" w:hAnsi="楷体" w:eastAsia="楷体" w:cs="楷体"/>
          <w:b/>
          <w:bCs/>
          <w:color w:val="auto"/>
          <w:sz w:val="32"/>
          <w:szCs w:val="32"/>
          <w:highlight w:val="none"/>
          <w:lang w:val="zh-CN"/>
        </w:rPr>
        <w:t>评价依据</w:t>
      </w:r>
    </w:p>
    <w:p w14:paraId="167A360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1.中央、省、市、县现行相关政策文件；</w:t>
      </w:r>
      <w:bookmarkStart w:id="5" w:name="_GoBack"/>
      <w:bookmarkEnd w:id="5"/>
    </w:p>
    <w:p w14:paraId="26AC91D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2.扶风县绛帐镇人民政府、财政局等相关文件；</w:t>
      </w:r>
    </w:p>
    <w:p w14:paraId="767C7B7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3.项目实施单位提供的相关资料，包括项目申报资料、项目自评报告、绩效目标表、资金到账及资金支出凭证，验收、审计相关资料，项目实施及管理等相关资料；</w:t>
      </w:r>
    </w:p>
    <w:p w14:paraId="41E5367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4.评价工作人员通过现场调查、核实、问卷等获得的资料；</w:t>
      </w:r>
    </w:p>
    <w:p w14:paraId="1341E38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5.其他相关资料。</w:t>
      </w:r>
    </w:p>
    <w:p w14:paraId="015B075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w:t>
      </w:r>
      <w:r>
        <w:rPr>
          <w:rFonts w:hint="eastAsia" w:ascii="楷体" w:hAnsi="楷体" w:eastAsia="楷体" w:cs="楷体"/>
          <w:b/>
          <w:bCs/>
          <w:color w:val="auto"/>
          <w:sz w:val="32"/>
          <w:szCs w:val="32"/>
          <w:highlight w:val="none"/>
          <w:lang w:val="en-US" w:eastAsia="zh-CN"/>
        </w:rPr>
        <w:t>二）评价目的与重点</w:t>
      </w:r>
    </w:p>
    <w:p w14:paraId="1C70845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1.评价目的</w:t>
      </w:r>
    </w:p>
    <w:p w14:paraId="24FD38F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lang w:val="en-US" w:eastAsia="zh-CN"/>
        </w:rPr>
        <w:t>运用规范</w:t>
      </w:r>
      <w:r>
        <w:rPr>
          <w:rFonts w:hint="eastAsia" w:ascii="仿宋_GB2312" w:hAnsi="仿宋_GB2312" w:eastAsia="仿宋_GB2312" w:cs="仿宋_GB2312"/>
          <w:color w:val="auto"/>
          <w:kern w:val="2"/>
          <w:sz w:val="32"/>
          <w:szCs w:val="32"/>
          <w:highlight w:val="none"/>
          <w:lang w:val="en-US" w:eastAsia="zh-CN" w:bidi="ar-SA"/>
        </w:rPr>
        <w:t>的绩效指标体系和科学的评价方法，全面、客观反映财政支出项目完成情况和实施效果。同时，及时总结经验，分析存在的问题，采取有效措施改进和加强项目管理，为政府相关决策提供参考依据。</w:t>
      </w:r>
    </w:p>
    <w:p w14:paraId="477F733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2.评价重点</w:t>
      </w:r>
    </w:p>
    <w:p w14:paraId="0966CED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default" w:ascii="仿宋_GB2312" w:hAnsi="仿宋_GB2312" w:eastAsia="仿宋_GB2312" w:cs="仿宋_GB2312"/>
          <w:color w:val="auto"/>
          <w:kern w:val="2"/>
          <w:sz w:val="32"/>
          <w:szCs w:val="32"/>
          <w:highlight w:val="none"/>
          <w:lang w:val="en-US" w:eastAsia="zh-CN" w:bidi="ar-SA"/>
        </w:rPr>
        <w:t>项目目标及任务完成情况：评估项目是否按时、按质、按量完成了预定的目标和任务。</w:t>
      </w:r>
    </w:p>
    <w:p w14:paraId="6C94282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w:t>
      </w:r>
      <w:r>
        <w:rPr>
          <w:rFonts w:hint="default" w:ascii="仿宋_GB2312" w:hAnsi="仿宋_GB2312" w:eastAsia="仿宋_GB2312" w:cs="仿宋_GB2312"/>
          <w:color w:val="auto"/>
          <w:kern w:val="2"/>
          <w:sz w:val="32"/>
          <w:szCs w:val="32"/>
          <w:highlight w:val="none"/>
          <w:lang w:val="en-US" w:eastAsia="zh-CN" w:bidi="ar-SA"/>
        </w:rPr>
        <w:t>项目质量及</w:t>
      </w:r>
      <w:r>
        <w:rPr>
          <w:rFonts w:hint="eastAsia" w:ascii="仿宋_GB2312" w:hAnsi="仿宋_GB2312" w:eastAsia="仿宋_GB2312" w:cs="仿宋_GB2312"/>
          <w:color w:val="auto"/>
          <w:kern w:val="2"/>
          <w:sz w:val="32"/>
          <w:szCs w:val="32"/>
          <w:highlight w:val="none"/>
          <w:lang w:val="en-US" w:eastAsia="zh-CN" w:bidi="ar-SA"/>
        </w:rPr>
        <w:t>成效</w:t>
      </w:r>
      <w:r>
        <w:rPr>
          <w:rFonts w:hint="default" w:ascii="仿宋_GB2312" w:hAnsi="仿宋_GB2312" w:eastAsia="仿宋_GB2312" w:cs="仿宋_GB2312"/>
          <w:color w:val="auto"/>
          <w:kern w:val="2"/>
          <w:sz w:val="32"/>
          <w:szCs w:val="32"/>
          <w:highlight w:val="none"/>
          <w:lang w:val="en-US" w:eastAsia="zh-CN" w:bidi="ar-SA"/>
        </w:rPr>
        <w:t>：考察项目的产出质量和</w:t>
      </w:r>
      <w:r>
        <w:rPr>
          <w:rFonts w:hint="eastAsia" w:ascii="仿宋_GB2312" w:hAnsi="仿宋_GB2312" w:eastAsia="仿宋_GB2312" w:cs="仿宋_GB2312"/>
          <w:color w:val="auto"/>
          <w:kern w:val="2"/>
          <w:sz w:val="32"/>
          <w:szCs w:val="32"/>
          <w:highlight w:val="none"/>
          <w:lang w:val="en-US" w:eastAsia="zh-CN" w:bidi="ar-SA"/>
        </w:rPr>
        <w:t>成效情况</w:t>
      </w:r>
      <w:r>
        <w:rPr>
          <w:rFonts w:hint="default" w:ascii="仿宋_GB2312" w:hAnsi="仿宋_GB2312" w:eastAsia="仿宋_GB2312" w:cs="仿宋_GB2312"/>
          <w:color w:val="auto"/>
          <w:kern w:val="2"/>
          <w:sz w:val="32"/>
          <w:szCs w:val="32"/>
          <w:highlight w:val="none"/>
          <w:lang w:val="en-US" w:eastAsia="zh-CN" w:bidi="ar-SA"/>
        </w:rPr>
        <w:t>。</w:t>
      </w:r>
    </w:p>
    <w:p w14:paraId="4D28FB02">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r>
        <w:rPr>
          <w:rFonts w:hint="default" w:ascii="仿宋_GB2312" w:hAnsi="仿宋_GB2312" w:eastAsia="仿宋_GB2312" w:cs="仿宋_GB2312"/>
          <w:color w:val="auto"/>
          <w:kern w:val="2"/>
          <w:sz w:val="32"/>
          <w:szCs w:val="32"/>
          <w:highlight w:val="none"/>
          <w:lang w:val="en-US" w:eastAsia="zh-CN" w:bidi="ar-SA"/>
        </w:rPr>
        <w:t>项目管理效能：评价项目的组织管理、财务管理、</w:t>
      </w:r>
      <w:r>
        <w:rPr>
          <w:rFonts w:hint="eastAsia" w:ascii="仿宋_GB2312" w:hAnsi="仿宋_GB2312" w:eastAsia="仿宋_GB2312" w:cs="仿宋_GB2312"/>
          <w:color w:val="auto"/>
          <w:kern w:val="2"/>
          <w:sz w:val="32"/>
          <w:szCs w:val="32"/>
          <w:highlight w:val="none"/>
          <w:lang w:val="en-US" w:eastAsia="zh-CN" w:bidi="ar-SA"/>
        </w:rPr>
        <w:t>长效</w:t>
      </w:r>
      <w:r>
        <w:rPr>
          <w:rFonts w:hint="default" w:ascii="仿宋_GB2312" w:hAnsi="仿宋_GB2312" w:eastAsia="仿宋_GB2312" w:cs="仿宋_GB2312"/>
          <w:color w:val="auto"/>
          <w:kern w:val="2"/>
          <w:sz w:val="32"/>
          <w:szCs w:val="32"/>
          <w:highlight w:val="none"/>
          <w:lang w:val="en-US" w:eastAsia="zh-CN" w:bidi="ar-SA"/>
        </w:rPr>
        <w:t>管理等方面的效率和效果。</w:t>
      </w:r>
    </w:p>
    <w:p w14:paraId="01E3E2E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楷体" w:hAnsi="楷体" w:eastAsia="楷体" w:cs="楷体"/>
          <w:b/>
          <w:bCs/>
          <w:color w:val="auto"/>
          <w:sz w:val="32"/>
          <w:szCs w:val="32"/>
          <w:highlight w:val="green"/>
          <w:lang w:val="en-US" w:eastAsia="zh-CN"/>
        </w:rPr>
      </w:pPr>
      <w:r>
        <w:rPr>
          <w:rFonts w:hint="eastAsia" w:ascii="仿宋_GB2312" w:hAnsi="仿宋_GB2312" w:eastAsia="仿宋_GB2312" w:cs="仿宋_GB2312"/>
          <w:color w:val="auto"/>
          <w:kern w:val="2"/>
          <w:sz w:val="32"/>
          <w:szCs w:val="32"/>
          <w:highlight w:val="none"/>
          <w:lang w:val="en-US" w:eastAsia="zh-CN" w:bidi="ar-SA"/>
        </w:rPr>
        <w:t>（4）</w:t>
      </w:r>
      <w:r>
        <w:rPr>
          <w:rFonts w:hint="default" w:ascii="仿宋_GB2312" w:hAnsi="仿宋_GB2312" w:eastAsia="仿宋_GB2312" w:cs="仿宋_GB2312"/>
          <w:color w:val="auto"/>
          <w:kern w:val="2"/>
          <w:sz w:val="32"/>
          <w:szCs w:val="32"/>
          <w:highlight w:val="none"/>
          <w:lang w:val="en-US" w:eastAsia="zh-CN" w:bidi="ar-SA"/>
        </w:rPr>
        <w:t>项目的经济效益及社会效益：分析项目对经济发展的贡献以及对社会的正面影响。</w:t>
      </w:r>
    </w:p>
    <w:p w14:paraId="38D5ABA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sz w:val="24"/>
          <w:szCs w:val="24"/>
        </w:rPr>
      </w:pP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000000"/>
          <w:kern w:val="0"/>
          <w:sz w:val="31"/>
          <w:szCs w:val="31"/>
          <w:lang w:val="en-US" w:eastAsia="zh-CN" w:bidi="ar"/>
        </w:rPr>
        <w:t>绩效评价指标与方法</w:t>
      </w:r>
      <w:r>
        <w:rPr>
          <w:rFonts w:hint="eastAsia" w:ascii="仿宋_GB2312" w:hAnsi="宋体" w:eastAsia="仿宋_GB2312" w:cs="仿宋_GB2312"/>
          <w:color w:val="000000"/>
          <w:kern w:val="0"/>
          <w:sz w:val="24"/>
          <w:szCs w:val="24"/>
          <w:lang w:val="en-US" w:eastAsia="zh-CN" w:bidi="ar"/>
        </w:rPr>
        <w:t xml:space="preserve"> </w:t>
      </w:r>
    </w:p>
    <w:p w14:paraId="253D605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1.评价原则</w:t>
      </w:r>
    </w:p>
    <w:p w14:paraId="1B3856B7">
      <w:pPr>
        <w:spacing w:line="560" w:lineRule="exact"/>
        <w:ind w:firstLine="64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按照科学规范、公正公开、分级分类、绩效相关的原则</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对项目进行综合评价。</w:t>
      </w:r>
    </w:p>
    <w:p w14:paraId="5234323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2.评价指标体系</w:t>
      </w:r>
    </w:p>
    <w:p w14:paraId="4918478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项目评价指标体系详见附件。</w:t>
      </w:r>
    </w:p>
    <w:p w14:paraId="33346FB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3.评价方法</w:t>
      </w:r>
    </w:p>
    <w:p w14:paraId="16FACAD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采用比较、因素分析、公众评判等评价方法，在</w:t>
      </w:r>
      <w:r>
        <w:rPr>
          <w:rFonts w:hint="eastAsia" w:ascii="仿宋_GB2312" w:hAnsi="仿宋_GB2312" w:eastAsia="仿宋_GB2312" w:cs="仿宋_GB2312"/>
          <w:color w:val="auto"/>
          <w:kern w:val="2"/>
          <w:sz w:val="32"/>
          <w:szCs w:val="32"/>
          <w:highlight w:val="none"/>
          <w:lang w:val="zh-CN" w:eastAsia="zh-CN" w:bidi="ar-SA"/>
        </w:rPr>
        <w:t>项目单位自评</w:t>
      </w:r>
      <w:r>
        <w:rPr>
          <w:rFonts w:hint="eastAsia" w:ascii="仿宋_GB2312" w:hAnsi="仿宋_GB2312" w:eastAsia="仿宋_GB2312" w:cs="仿宋_GB2312"/>
          <w:color w:val="auto"/>
          <w:kern w:val="2"/>
          <w:sz w:val="32"/>
          <w:szCs w:val="32"/>
          <w:highlight w:val="none"/>
          <w:lang w:val="en-US" w:eastAsia="zh-CN" w:bidi="ar-SA"/>
        </w:rPr>
        <w:t>的基础上</w:t>
      </w:r>
      <w:r>
        <w:rPr>
          <w:rFonts w:hint="eastAsia" w:ascii="仿宋_GB2312" w:hAnsi="仿宋_GB2312" w:eastAsia="仿宋_GB2312" w:cs="仿宋_GB2312"/>
          <w:color w:val="auto"/>
          <w:kern w:val="2"/>
          <w:sz w:val="32"/>
          <w:szCs w:val="32"/>
          <w:highlight w:val="none"/>
          <w:lang w:val="zh-CN" w:eastAsia="zh-CN" w:bidi="ar-SA"/>
        </w:rPr>
        <w:t>，通过</w:t>
      </w:r>
      <w:r>
        <w:rPr>
          <w:rFonts w:hint="eastAsia" w:ascii="仿宋_GB2312" w:hAnsi="仿宋_GB2312" w:eastAsia="仿宋_GB2312" w:cs="仿宋_GB2312"/>
          <w:color w:val="auto"/>
          <w:kern w:val="2"/>
          <w:sz w:val="32"/>
          <w:szCs w:val="32"/>
          <w:highlight w:val="none"/>
          <w:lang w:val="en-US" w:eastAsia="zh-CN" w:bidi="ar-SA"/>
        </w:rPr>
        <w:t>统计汇总与数据</w:t>
      </w:r>
      <w:r>
        <w:rPr>
          <w:rFonts w:hint="eastAsia" w:ascii="仿宋_GB2312" w:hAnsi="仿宋_GB2312" w:eastAsia="仿宋_GB2312" w:cs="仿宋_GB2312"/>
          <w:color w:val="auto"/>
          <w:kern w:val="2"/>
          <w:sz w:val="32"/>
          <w:szCs w:val="32"/>
          <w:highlight w:val="none"/>
          <w:lang w:val="zh-CN" w:eastAsia="zh-CN" w:bidi="ar-SA"/>
        </w:rPr>
        <w:t>分析、整体评价与现场评价、</w:t>
      </w:r>
      <w:r>
        <w:rPr>
          <w:rFonts w:hint="eastAsia" w:ascii="仿宋_GB2312" w:hAnsi="仿宋_GB2312" w:eastAsia="仿宋_GB2312" w:cs="仿宋_GB2312"/>
          <w:color w:val="auto"/>
          <w:kern w:val="2"/>
          <w:sz w:val="32"/>
          <w:szCs w:val="32"/>
          <w:highlight w:val="none"/>
          <w:lang w:val="en-US" w:eastAsia="zh-CN" w:bidi="ar-SA"/>
        </w:rPr>
        <w:t>走访惠及群众及</w:t>
      </w:r>
      <w:r>
        <w:rPr>
          <w:rFonts w:hint="eastAsia" w:ascii="仿宋_GB2312" w:hAnsi="仿宋_GB2312" w:eastAsia="仿宋_GB2312" w:cs="仿宋_GB2312"/>
          <w:color w:val="auto"/>
          <w:kern w:val="2"/>
          <w:sz w:val="32"/>
          <w:szCs w:val="32"/>
          <w:highlight w:val="none"/>
          <w:lang w:val="zh-CN" w:eastAsia="zh-CN" w:bidi="ar-SA"/>
        </w:rPr>
        <w:t>问卷调查等方式进行</w:t>
      </w:r>
      <w:r>
        <w:rPr>
          <w:rFonts w:hint="eastAsia" w:ascii="仿宋_GB2312" w:hAnsi="仿宋_GB2312" w:eastAsia="仿宋_GB2312" w:cs="仿宋_GB2312"/>
          <w:color w:val="auto"/>
          <w:kern w:val="2"/>
          <w:sz w:val="32"/>
          <w:szCs w:val="32"/>
          <w:highlight w:val="none"/>
          <w:lang w:val="en-US" w:eastAsia="zh-CN" w:bidi="ar-SA"/>
        </w:rPr>
        <w:t>绩效</w:t>
      </w:r>
      <w:r>
        <w:rPr>
          <w:rFonts w:hint="eastAsia" w:ascii="仿宋_GB2312" w:hAnsi="仿宋_GB2312" w:eastAsia="仿宋_GB2312" w:cs="仿宋_GB2312"/>
          <w:color w:val="auto"/>
          <w:kern w:val="2"/>
          <w:sz w:val="32"/>
          <w:szCs w:val="32"/>
          <w:highlight w:val="none"/>
          <w:lang w:val="zh-CN" w:eastAsia="zh-CN" w:bidi="ar-SA"/>
        </w:rPr>
        <w:t>评价，形成</w:t>
      </w:r>
      <w:r>
        <w:rPr>
          <w:rFonts w:hint="eastAsia" w:ascii="仿宋_GB2312" w:hAnsi="仿宋_GB2312" w:eastAsia="仿宋_GB2312" w:cs="仿宋_GB2312"/>
          <w:color w:val="auto"/>
          <w:kern w:val="2"/>
          <w:sz w:val="32"/>
          <w:szCs w:val="32"/>
          <w:highlight w:val="none"/>
          <w:lang w:val="en-US" w:eastAsia="zh-CN" w:bidi="ar-SA"/>
        </w:rPr>
        <w:t>评价结论，</w:t>
      </w:r>
      <w:r>
        <w:rPr>
          <w:rFonts w:hint="eastAsia" w:ascii="仿宋_GB2312" w:hAnsi="仿宋_GB2312" w:eastAsia="仿宋_GB2312" w:cs="仿宋_GB2312"/>
          <w:color w:val="auto"/>
          <w:kern w:val="2"/>
          <w:sz w:val="32"/>
          <w:szCs w:val="32"/>
          <w:highlight w:val="none"/>
          <w:lang w:val="zh-CN" w:eastAsia="zh-CN" w:bidi="ar-SA"/>
        </w:rPr>
        <w:t>撰写</w:t>
      </w:r>
      <w:r>
        <w:rPr>
          <w:rFonts w:hint="eastAsia" w:ascii="仿宋_GB2312" w:hAnsi="仿宋_GB2312" w:eastAsia="仿宋_GB2312" w:cs="仿宋_GB2312"/>
          <w:color w:val="auto"/>
          <w:kern w:val="2"/>
          <w:sz w:val="32"/>
          <w:szCs w:val="32"/>
          <w:highlight w:val="none"/>
          <w:lang w:val="en-US" w:eastAsia="zh-CN" w:bidi="ar-SA"/>
        </w:rPr>
        <w:t>评价</w:t>
      </w:r>
      <w:r>
        <w:rPr>
          <w:rFonts w:hint="eastAsia" w:ascii="仿宋_GB2312" w:hAnsi="仿宋_GB2312" w:eastAsia="仿宋_GB2312" w:cs="仿宋_GB2312"/>
          <w:color w:val="auto"/>
          <w:kern w:val="2"/>
          <w:sz w:val="32"/>
          <w:szCs w:val="32"/>
          <w:highlight w:val="none"/>
          <w:lang w:val="zh-CN" w:eastAsia="zh-CN" w:bidi="ar-SA"/>
        </w:rPr>
        <w:t>报告</w:t>
      </w:r>
      <w:r>
        <w:rPr>
          <w:rFonts w:hint="eastAsia" w:ascii="仿宋_GB2312" w:hAnsi="仿宋_GB2312" w:eastAsia="仿宋_GB2312" w:cs="仿宋_GB2312"/>
          <w:color w:val="auto"/>
          <w:kern w:val="2"/>
          <w:sz w:val="32"/>
          <w:szCs w:val="32"/>
          <w:highlight w:val="none"/>
          <w:lang w:val="en-US" w:eastAsia="zh-CN" w:bidi="ar-SA"/>
        </w:rPr>
        <w:t>。</w:t>
      </w:r>
    </w:p>
    <w:p w14:paraId="36E1410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4.评价标准</w:t>
      </w:r>
    </w:p>
    <w:p w14:paraId="236BAD8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kern w:val="2"/>
          <w:sz w:val="32"/>
          <w:szCs w:val="32"/>
          <w:highlight w:val="none"/>
          <w:lang w:val="en-US" w:eastAsia="zh-CN" w:bidi="ar-SA"/>
        </w:rPr>
        <w:t>2024年扶风县绛帐镇迎宾路南段排水硬化工程绩效评价采</w:t>
      </w:r>
      <w:r>
        <w:rPr>
          <w:rFonts w:hint="eastAsia" w:ascii="仿宋_GB2312" w:hAnsi="仿宋_GB2312" w:eastAsia="仿宋_GB2312" w:cs="仿宋_GB2312"/>
          <w:color w:val="auto"/>
          <w:sz w:val="32"/>
          <w:szCs w:val="32"/>
          <w:highlight w:val="none"/>
        </w:rPr>
        <w:t>用百分制得分。评价指标共设置</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个一级指标、</w:t>
      </w: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rPr>
        <w:t>个二级指标、</w:t>
      </w: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个三级指标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评价结果分为优</w:t>
      </w:r>
      <w:r>
        <w:rPr>
          <w:rFonts w:hint="eastAsia" w:ascii="仿宋_GB2312" w:hAnsi="仿宋_GB2312" w:eastAsia="仿宋_GB2312" w:cs="仿宋_GB2312"/>
          <w:color w:val="auto"/>
          <w:sz w:val="32"/>
          <w:szCs w:val="32"/>
          <w:highlight w:val="none"/>
          <w:lang w:val="en-US" w:eastAsia="zh-CN"/>
        </w:rPr>
        <w:t>秀</w:t>
      </w:r>
      <w:r>
        <w:rPr>
          <w:rFonts w:hint="eastAsia" w:ascii="仿宋_GB2312" w:hAnsi="仿宋_GB2312" w:eastAsia="仿宋_GB2312" w:cs="仿宋_GB2312"/>
          <w:color w:val="auto"/>
          <w:sz w:val="32"/>
          <w:szCs w:val="32"/>
          <w:highlight w:val="none"/>
        </w:rPr>
        <w:t>、良</w:t>
      </w:r>
      <w:r>
        <w:rPr>
          <w:rFonts w:hint="eastAsia" w:ascii="仿宋_GB2312" w:hAnsi="仿宋_GB2312" w:eastAsia="仿宋_GB2312" w:cs="仿宋_GB2312"/>
          <w:color w:val="auto"/>
          <w:sz w:val="32"/>
          <w:szCs w:val="32"/>
          <w:highlight w:val="none"/>
          <w:lang w:val="en-US" w:eastAsia="zh-CN"/>
        </w:rPr>
        <w:t>好</w:t>
      </w:r>
      <w:r>
        <w:rPr>
          <w:rFonts w:hint="eastAsia" w:ascii="仿宋_GB2312" w:hAnsi="仿宋_GB2312" w:eastAsia="仿宋_GB2312" w:cs="仿宋_GB2312"/>
          <w:color w:val="auto"/>
          <w:sz w:val="32"/>
          <w:szCs w:val="32"/>
          <w:highlight w:val="none"/>
        </w:rPr>
        <w:t>、一般、差4个评价等次，根据计算结果的分值，确定评价项目最后达到的等次。具体</w:t>
      </w:r>
      <w:r>
        <w:rPr>
          <w:rFonts w:hint="eastAsia" w:ascii="仿宋_GB2312" w:hAnsi="仿宋_GB2312" w:eastAsia="仿宋_GB2312" w:cs="仿宋_GB2312"/>
          <w:color w:val="auto"/>
          <w:sz w:val="32"/>
          <w:szCs w:val="32"/>
          <w:highlight w:val="none"/>
          <w:lang w:val="en-US" w:eastAsia="zh-CN"/>
        </w:rPr>
        <w:t>见表6。</w:t>
      </w:r>
    </w:p>
    <w:p w14:paraId="315F43D5">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eastAsia="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lang w:val="en-US" w:eastAsia="zh-CN"/>
        </w:rPr>
        <w:t>表6   评价结果等次表</w:t>
      </w:r>
    </w:p>
    <w:tbl>
      <w:tblPr>
        <w:tblStyle w:val="15"/>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2"/>
        <w:gridCol w:w="1264"/>
        <w:gridCol w:w="2028"/>
        <w:gridCol w:w="2262"/>
        <w:gridCol w:w="1363"/>
      </w:tblGrid>
      <w:tr w14:paraId="56844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2" w:type="dxa"/>
            <w:tcBorders>
              <w:left w:val="nil"/>
            </w:tcBorders>
            <w:shd w:val="clear" w:color="auto" w:fill="D7D7D7"/>
            <w:noWrap w:val="0"/>
            <w:vAlign w:val="center"/>
          </w:tcPr>
          <w:p w14:paraId="02E1CD9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评价等次</w:t>
            </w:r>
          </w:p>
        </w:tc>
        <w:tc>
          <w:tcPr>
            <w:tcW w:w="1264" w:type="dxa"/>
            <w:shd w:val="clear" w:color="auto" w:fill="D7D7D7"/>
            <w:noWrap w:val="0"/>
            <w:vAlign w:val="center"/>
          </w:tcPr>
          <w:p w14:paraId="44B9E4D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rPr>
              <w:t>优</w:t>
            </w:r>
            <w:r>
              <w:rPr>
                <w:rFonts w:hint="eastAsia" w:ascii="仿宋_GB2312" w:hAnsi="仿宋_GB2312" w:eastAsia="仿宋_GB2312" w:cs="仿宋_GB2312"/>
                <w:b/>
                <w:bCs/>
                <w:color w:val="auto"/>
                <w:sz w:val="28"/>
                <w:szCs w:val="28"/>
                <w:highlight w:val="none"/>
                <w:lang w:val="en-US" w:eastAsia="zh-CN"/>
              </w:rPr>
              <w:t>秀</w:t>
            </w:r>
          </w:p>
        </w:tc>
        <w:tc>
          <w:tcPr>
            <w:tcW w:w="2028" w:type="dxa"/>
            <w:shd w:val="clear" w:color="auto" w:fill="D7D7D7"/>
            <w:noWrap w:val="0"/>
            <w:vAlign w:val="center"/>
          </w:tcPr>
          <w:p w14:paraId="7F568BB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rPr>
              <w:t>良</w:t>
            </w:r>
            <w:r>
              <w:rPr>
                <w:rFonts w:hint="eastAsia" w:ascii="仿宋_GB2312" w:hAnsi="仿宋_GB2312" w:eastAsia="仿宋_GB2312" w:cs="仿宋_GB2312"/>
                <w:b/>
                <w:bCs/>
                <w:color w:val="auto"/>
                <w:sz w:val="28"/>
                <w:szCs w:val="28"/>
                <w:highlight w:val="none"/>
                <w:lang w:val="en-US" w:eastAsia="zh-CN"/>
              </w:rPr>
              <w:t>好</w:t>
            </w:r>
          </w:p>
        </w:tc>
        <w:tc>
          <w:tcPr>
            <w:tcW w:w="2262" w:type="dxa"/>
            <w:shd w:val="clear" w:color="auto" w:fill="D7D7D7"/>
            <w:noWrap w:val="0"/>
            <w:vAlign w:val="center"/>
          </w:tcPr>
          <w:p w14:paraId="11E080D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一般</w:t>
            </w:r>
          </w:p>
        </w:tc>
        <w:tc>
          <w:tcPr>
            <w:tcW w:w="1363" w:type="dxa"/>
            <w:tcBorders>
              <w:right w:val="nil"/>
            </w:tcBorders>
            <w:shd w:val="clear" w:color="auto" w:fill="D7D7D7"/>
            <w:noWrap w:val="0"/>
            <w:vAlign w:val="center"/>
          </w:tcPr>
          <w:p w14:paraId="39B5967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差</w:t>
            </w:r>
          </w:p>
        </w:tc>
      </w:tr>
      <w:tr w14:paraId="62111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592" w:type="dxa"/>
            <w:tcBorders>
              <w:left w:val="nil"/>
            </w:tcBorders>
            <w:noWrap w:val="0"/>
            <w:vAlign w:val="center"/>
          </w:tcPr>
          <w:p w14:paraId="62DFDE3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分值S</w:t>
            </w:r>
          </w:p>
        </w:tc>
        <w:tc>
          <w:tcPr>
            <w:tcW w:w="1264" w:type="dxa"/>
            <w:noWrap w:val="0"/>
            <w:vAlign w:val="center"/>
          </w:tcPr>
          <w:p w14:paraId="155FB1B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S ≥ 90</w:t>
            </w:r>
          </w:p>
        </w:tc>
        <w:tc>
          <w:tcPr>
            <w:tcW w:w="2028" w:type="dxa"/>
            <w:noWrap w:val="0"/>
            <w:vAlign w:val="center"/>
          </w:tcPr>
          <w:p w14:paraId="5FD34F4D">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90＞ S ≥ 80</w:t>
            </w:r>
          </w:p>
        </w:tc>
        <w:tc>
          <w:tcPr>
            <w:tcW w:w="2262" w:type="dxa"/>
            <w:noWrap w:val="0"/>
            <w:vAlign w:val="center"/>
          </w:tcPr>
          <w:p w14:paraId="5F1F2A0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80 ＞ S ≥ 60</w:t>
            </w:r>
          </w:p>
        </w:tc>
        <w:tc>
          <w:tcPr>
            <w:tcW w:w="1363" w:type="dxa"/>
            <w:tcBorders>
              <w:right w:val="nil"/>
            </w:tcBorders>
            <w:noWrap w:val="0"/>
            <w:vAlign w:val="center"/>
          </w:tcPr>
          <w:p w14:paraId="77275E8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S ＜ 60</w:t>
            </w:r>
          </w:p>
        </w:tc>
      </w:tr>
    </w:tbl>
    <w:p w14:paraId="7103E02C">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（四）绩效评价工作过程</w:t>
      </w:r>
    </w:p>
    <w:p w14:paraId="408FC031">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z w:val="32"/>
          <w:szCs w:val="32"/>
          <w:highlight w:val="none"/>
        </w:rPr>
        <w:t>为了做好本次绩效评价工作，</w:t>
      </w:r>
      <w:r>
        <w:rPr>
          <w:rFonts w:hint="eastAsia" w:ascii="仿宋_GB2312" w:hAnsi="仿宋_GB2312" w:eastAsia="仿宋_GB2312" w:cs="仿宋_GB2312"/>
          <w:color w:val="000000"/>
          <w:sz w:val="32"/>
          <w:szCs w:val="32"/>
          <w:highlight w:val="none"/>
          <w:lang w:val="en-US" w:eastAsia="zh-CN"/>
        </w:rPr>
        <w:t>我们</w:t>
      </w:r>
      <w:r>
        <w:rPr>
          <w:rFonts w:hint="eastAsia" w:ascii="仿宋_GB2312" w:hAnsi="仿宋_GB2312" w:eastAsia="仿宋_GB2312" w:cs="仿宋_GB2312"/>
          <w:color w:val="000000"/>
          <w:sz w:val="32"/>
          <w:szCs w:val="32"/>
          <w:highlight w:val="none"/>
        </w:rPr>
        <w:t>成立绩效评价工作</w:t>
      </w:r>
      <w:r>
        <w:rPr>
          <w:rFonts w:hint="eastAsia" w:ascii="仿宋_GB2312" w:hAnsi="仿宋_GB2312" w:eastAsia="仿宋_GB2312" w:cs="仿宋_GB2312"/>
          <w:color w:val="000000"/>
          <w:sz w:val="32"/>
          <w:szCs w:val="32"/>
          <w:highlight w:val="none"/>
          <w:lang w:eastAsia="zh-CN"/>
        </w:rPr>
        <w:t>小</w:t>
      </w:r>
      <w:r>
        <w:rPr>
          <w:rFonts w:hint="eastAsia" w:ascii="仿宋_GB2312" w:hAnsi="仿宋_GB2312" w:eastAsia="仿宋_GB2312" w:cs="仿宋_GB2312"/>
          <w:color w:val="000000"/>
          <w:sz w:val="32"/>
          <w:szCs w:val="32"/>
          <w:highlight w:val="none"/>
        </w:rPr>
        <w:t>组，</w:t>
      </w:r>
      <w:r>
        <w:rPr>
          <w:rFonts w:hint="eastAsia" w:ascii="仿宋_GB2312" w:hAnsi="仿宋_GB2312" w:eastAsia="仿宋_GB2312" w:cs="仿宋_GB2312"/>
          <w:color w:val="000000"/>
          <w:sz w:val="32"/>
          <w:szCs w:val="32"/>
          <w:highlight w:val="none"/>
          <w:lang w:val="en-US" w:eastAsia="zh-CN"/>
        </w:rPr>
        <w:t>按照</w:t>
      </w:r>
      <w:r>
        <w:rPr>
          <w:rFonts w:hint="eastAsia" w:ascii="仿宋_GB2312" w:hAnsi="仿宋_GB2312" w:eastAsia="仿宋_GB2312" w:cs="仿宋_GB2312"/>
          <w:color w:val="000000"/>
          <w:sz w:val="32"/>
          <w:szCs w:val="32"/>
          <w:highlight w:val="none"/>
        </w:rPr>
        <w:t>准备阶段</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实施阶段（</w:t>
      </w:r>
      <w:r>
        <w:rPr>
          <w:rFonts w:hint="default" w:ascii="仿宋_GB2312" w:hAnsi="仿宋_GB2312" w:eastAsia="仿宋_GB2312" w:cs="仿宋_GB2312"/>
          <w:color w:val="000000"/>
          <w:sz w:val="32"/>
          <w:szCs w:val="32"/>
          <w:highlight w:val="none"/>
          <w:lang w:val="en-US" w:eastAsia="zh-CN"/>
        </w:rPr>
        <w:t>资料收集和初审</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现场考察</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数据整理与分析</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综合评价</w:t>
      </w:r>
      <w:r>
        <w:rPr>
          <w:rFonts w:hint="eastAsia" w:ascii="仿宋_GB2312" w:hAnsi="仿宋_GB2312" w:eastAsia="仿宋_GB2312" w:cs="仿宋_GB2312"/>
          <w:color w:val="000000"/>
          <w:sz w:val="32"/>
          <w:szCs w:val="32"/>
          <w:highlight w:val="none"/>
          <w:lang w:val="en-US" w:eastAsia="zh-CN"/>
        </w:rPr>
        <w:t>）、报告撰写与提交阶段（</w:t>
      </w:r>
      <w:r>
        <w:rPr>
          <w:rFonts w:hint="default" w:ascii="仿宋_GB2312" w:hAnsi="仿宋_GB2312" w:eastAsia="仿宋_GB2312" w:cs="仿宋_GB2312"/>
          <w:color w:val="000000"/>
          <w:sz w:val="32"/>
          <w:szCs w:val="32"/>
          <w:highlight w:val="none"/>
          <w:lang w:val="en-US" w:eastAsia="zh-CN"/>
        </w:rPr>
        <w:t>撰写评价报告</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提交报告</w:t>
      </w:r>
      <w:r>
        <w:rPr>
          <w:rFonts w:hint="eastAsia" w:ascii="仿宋_GB2312" w:hAnsi="仿宋_GB2312" w:eastAsia="仿宋_GB2312" w:cs="仿宋_GB2312"/>
          <w:color w:val="000000"/>
          <w:sz w:val="32"/>
          <w:szCs w:val="32"/>
          <w:highlight w:val="none"/>
          <w:lang w:val="en-US" w:eastAsia="zh-CN"/>
        </w:rPr>
        <w:t>等）和</w:t>
      </w:r>
      <w:r>
        <w:rPr>
          <w:rFonts w:hint="default" w:ascii="仿宋_GB2312" w:hAnsi="仿宋_GB2312" w:eastAsia="仿宋_GB2312" w:cs="仿宋_GB2312"/>
          <w:color w:val="000000"/>
          <w:sz w:val="32"/>
          <w:szCs w:val="32"/>
          <w:highlight w:val="none"/>
          <w:lang w:val="en-US" w:eastAsia="zh-CN"/>
        </w:rPr>
        <w:t>结果应用</w:t>
      </w:r>
      <w:r>
        <w:rPr>
          <w:rFonts w:hint="eastAsia" w:ascii="仿宋_GB2312" w:hAnsi="仿宋_GB2312" w:eastAsia="仿宋_GB2312" w:cs="仿宋_GB2312"/>
          <w:color w:val="000000"/>
          <w:sz w:val="32"/>
          <w:szCs w:val="32"/>
          <w:highlight w:val="none"/>
          <w:lang w:val="en-US" w:eastAsia="zh-CN"/>
        </w:rPr>
        <w:t>等四个</w:t>
      </w:r>
      <w:r>
        <w:rPr>
          <w:rFonts w:hint="default" w:ascii="仿宋_GB2312" w:hAnsi="仿宋_GB2312" w:eastAsia="仿宋_GB2312" w:cs="仿宋_GB2312"/>
          <w:color w:val="000000"/>
          <w:sz w:val="32"/>
          <w:szCs w:val="32"/>
          <w:highlight w:val="none"/>
          <w:lang w:val="en-US" w:eastAsia="zh-CN"/>
        </w:rPr>
        <w:t>阶段</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rPr>
        <w:t>采取项目单位自评、收集项目相关资料、数据分析、现场调查和问卷调查相结合的方法，于</w:t>
      </w:r>
      <w:r>
        <w:rPr>
          <w:rFonts w:hint="eastAsia" w:ascii="仿宋_GB2312" w:hAnsi="仿宋_GB2312" w:eastAsia="仿宋_GB2312" w:cs="仿宋_GB2312"/>
          <w:color w:val="auto"/>
          <w:sz w:val="32"/>
          <w:szCs w:val="32"/>
          <w:highlight w:val="non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23</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000000"/>
          <w:sz w:val="32"/>
          <w:szCs w:val="32"/>
          <w:highlight w:val="none"/>
          <w:lang w:val="en-US" w:eastAsia="zh-CN"/>
        </w:rPr>
        <w:t>对</w:t>
      </w:r>
      <w:r>
        <w:rPr>
          <w:rFonts w:hint="eastAsia" w:ascii="仿宋_GB2312" w:hAnsi="仿宋_GB2312" w:eastAsia="仿宋_GB2312" w:cs="仿宋_GB2312"/>
          <w:color w:val="000000"/>
          <w:sz w:val="32"/>
          <w:szCs w:val="32"/>
          <w:highlight w:val="none"/>
        </w:rPr>
        <w:t>该</w:t>
      </w:r>
      <w:r>
        <w:rPr>
          <w:rFonts w:hint="eastAsia" w:ascii="仿宋_GB2312" w:hAnsi="仿宋_GB2312" w:eastAsia="仿宋_GB2312" w:cs="仿宋_GB2312"/>
          <w:color w:val="000000"/>
          <w:sz w:val="32"/>
          <w:szCs w:val="32"/>
          <w:highlight w:val="none"/>
          <w:lang w:val="en-US" w:eastAsia="zh-CN"/>
        </w:rPr>
        <w:t>项目</w:t>
      </w:r>
      <w:r>
        <w:rPr>
          <w:rFonts w:hint="eastAsia" w:ascii="仿宋_GB2312" w:hAnsi="仿宋_GB2312" w:eastAsia="仿宋_GB2312" w:cs="仿宋_GB2312"/>
          <w:color w:val="000000"/>
          <w:sz w:val="32"/>
          <w:szCs w:val="32"/>
          <w:highlight w:val="none"/>
        </w:rPr>
        <w:t>开展了现场评价。经过分析研究，并征求相关部门意见，得出该项目绩效评价结论</w:t>
      </w:r>
      <w:r>
        <w:rPr>
          <w:rFonts w:hint="default" w:ascii="仿宋_GB2312" w:hAnsi="仿宋_GB2312" w:eastAsia="仿宋_GB2312" w:cs="仿宋_GB2312"/>
          <w:color w:val="auto"/>
          <w:sz w:val="32"/>
          <w:szCs w:val="32"/>
          <w:highlight w:val="none"/>
          <w:lang w:val="en-US" w:eastAsia="zh-CN"/>
        </w:rPr>
        <w:t>。</w:t>
      </w:r>
    </w:p>
    <w:p w14:paraId="64979852">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（五）评价局限性</w:t>
      </w:r>
    </w:p>
    <w:p w14:paraId="624E22D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黑体" w:hAnsi="黑体" w:eastAsia="黑体" w:cs="黑体"/>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尽管评价组在评价中力求科学、规范、客观和公正，但在实际评价过程中依然存在局限性：一是由于评价时间、人力等限制，获取数据与信息来源存在局限性；二是评价工作人员知识面、经验等限制，在理解和判断上存在认知局限性；三是受问卷调查覆盖面及被调查者认知、愿望等方面的主观倾向性限制，公众满意度测评结果可能存在一定局限性。</w:t>
      </w:r>
    </w:p>
    <w:p w14:paraId="308FA50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 xml:space="preserve">三、综合评价情况及评价结论（附相关评分表） </w:t>
      </w:r>
    </w:p>
    <w:p w14:paraId="27E30A87">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仿宋_GB2312" w:hAnsi="宋体" w:eastAsia="仿宋_GB2312" w:cs="仿宋_GB2312"/>
          <w:color w:val="000000"/>
          <w:kern w:val="0"/>
          <w:sz w:val="32"/>
          <w:szCs w:val="32"/>
          <w:lang w:val="en-US" w:eastAsia="zh-CN" w:bidi="ar"/>
        </w:rPr>
      </w:pPr>
      <w:r>
        <w:rPr>
          <w:rFonts w:hint="eastAsia" w:ascii="仿宋_GB2312" w:hAnsi="仿宋_GB2312" w:eastAsia="仿宋_GB2312" w:cs="仿宋_GB2312"/>
          <w:color w:val="auto"/>
          <w:kern w:val="2"/>
          <w:sz w:val="32"/>
          <w:szCs w:val="32"/>
          <w:highlight w:val="none"/>
          <w:lang w:val="en-US" w:eastAsia="zh-CN" w:bidi="ar-SA"/>
        </w:rPr>
        <w:t>2024年扶风县绛帐镇迎宾路南段排水硬化工程</w:t>
      </w:r>
      <w:r>
        <w:rPr>
          <w:rFonts w:hint="eastAsia" w:ascii="仿宋_GB2312" w:hAnsi="仿宋_GB2312" w:eastAsia="仿宋_GB2312" w:cs="仿宋_GB2312"/>
          <w:color w:val="auto"/>
          <w:sz w:val="32"/>
          <w:szCs w:val="32"/>
          <w:highlight w:val="none"/>
          <w:lang w:val="en-US" w:eastAsia="zh-CN"/>
        </w:rPr>
        <w:t>资金安排符合相关法律、法规及政策要求，符合扶风县市政基础设施建设和经济社会高质量发展需要，立项依据充分、程序规范，资金到位及时，预算资金到位率及执行率高，资金使用合规，项目产出数量、质量指标完成较好。但项目进展缓慢、财务管理工作存在不足、绩效管理工作不到位。结合单位自评、信息采集、问卷调查等情况，经评价组认真评价，项目绩效评价综合得分89.62分，整体评价结论为良好，详见表7。</w:t>
      </w:r>
    </w:p>
    <w:p w14:paraId="5F0E7502">
      <w:pPr>
        <w:keepNext w:val="0"/>
        <w:keepLines w:val="0"/>
        <w:widowControl/>
        <w:suppressLineNumbers w:val="0"/>
        <w:jc w:val="center"/>
        <w:rPr>
          <w:highlight w:val="none"/>
        </w:rPr>
      </w:pPr>
      <w:r>
        <w:rPr>
          <w:rFonts w:ascii="仿宋_GB2312" w:hAnsi="宋体" w:eastAsia="仿宋_GB2312" w:cs="仿宋_GB2312"/>
          <w:b/>
          <w:bCs/>
          <w:color w:val="000000"/>
          <w:kern w:val="0"/>
          <w:sz w:val="28"/>
          <w:szCs w:val="28"/>
          <w:highlight w:val="none"/>
          <w:lang w:val="en-US" w:eastAsia="zh-CN" w:bidi="ar"/>
        </w:rPr>
        <w:t>表</w:t>
      </w:r>
      <w:r>
        <w:rPr>
          <w:rFonts w:hint="eastAsia" w:ascii="仿宋_GB2312" w:hAnsi="宋体" w:eastAsia="仿宋_GB2312" w:cs="仿宋_GB2312"/>
          <w:b/>
          <w:bCs/>
          <w:color w:val="000000"/>
          <w:kern w:val="0"/>
          <w:sz w:val="28"/>
          <w:szCs w:val="28"/>
          <w:highlight w:val="none"/>
          <w:lang w:val="en-US" w:eastAsia="zh-CN" w:bidi="ar"/>
        </w:rPr>
        <w:t xml:space="preserve">7   </w:t>
      </w:r>
      <w:r>
        <w:rPr>
          <w:rFonts w:ascii="仿宋_GB2312" w:hAnsi="宋体" w:eastAsia="仿宋_GB2312" w:cs="仿宋_GB2312"/>
          <w:b/>
          <w:bCs/>
          <w:color w:val="000000"/>
          <w:kern w:val="0"/>
          <w:sz w:val="28"/>
          <w:szCs w:val="28"/>
          <w:highlight w:val="none"/>
          <w:lang w:val="en-US" w:eastAsia="zh-CN" w:bidi="ar"/>
        </w:rPr>
        <w:t xml:space="preserve"> </w:t>
      </w:r>
      <w:r>
        <w:rPr>
          <w:rFonts w:hint="eastAsia" w:ascii="仿宋_GB2312" w:hAnsi="宋体" w:eastAsia="仿宋_GB2312" w:cs="仿宋_GB2312"/>
          <w:b/>
          <w:bCs/>
          <w:color w:val="000000"/>
          <w:kern w:val="0"/>
          <w:sz w:val="28"/>
          <w:szCs w:val="28"/>
          <w:highlight w:val="none"/>
          <w:lang w:val="en-US" w:eastAsia="zh-CN" w:bidi="ar"/>
        </w:rPr>
        <w:t>项目</w:t>
      </w:r>
      <w:r>
        <w:rPr>
          <w:rFonts w:ascii="仿宋_GB2312" w:hAnsi="宋体" w:eastAsia="仿宋_GB2312" w:cs="仿宋_GB2312"/>
          <w:b/>
          <w:bCs/>
          <w:color w:val="000000"/>
          <w:kern w:val="0"/>
          <w:sz w:val="28"/>
          <w:szCs w:val="28"/>
          <w:highlight w:val="none"/>
          <w:lang w:val="en-US" w:eastAsia="zh-CN" w:bidi="ar"/>
        </w:rPr>
        <w:t>指标评分表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7"/>
        <w:gridCol w:w="2313"/>
        <w:gridCol w:w="2216"/>
        <w:gridCol w:w="2071"/>
      </w:tblGrid>
      <w:tr w14:paraId="5C8DD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blHeader/>
        </w:trPr>
        <w:tc>
          <w:tcPr>
            <w:tcW w:w="2117" w:type="dxa"/>
            <w:shd w:val="clear" w:color="auto" w:fill="D7D7D7"/>
            <w:noWrap w:val="0"/>
            <w:vAlign w:val="center"/>
          </w:tcPr>
          <w:p w14:paraId="1F9260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一级指标</w:t>
            </w:r>
          </w:p>
        </w:tc>
        <w:tc>
          <w:tcPr>
            <w:tcW w:w="2313" w:type="dxa"/>
            <w:shd w:val="clear" w:color="auto" w:fill="D7D7D7"/>
            <w:noWrap w:val="0"/>
            <w:vAlign w:val="center"/>
          </w:tcPr>
          <w:p w14:paraId="0490732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分值</w:t>
            </w:r>
          </w:p>
        </w:tc>
        <w:tc>
          <w:tcPr>
            <w:tcW w:w="2216" w:type="dxa"/>
            <w:shd w:val="clear" w:color="auto" w:fill="D7D7D7"/>
            <w:noWrap w:val="0"/>
            <w:vAlign w:val="center"/>
          </w:tcPr>
          <w:p w14:paraId="628A772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得分</w:t>
            </w:r>
          </w:p>
        </w:tc>
        <w:tc>
          <w:tcPr>
            <w:tcW w:w="2071" w:type="dxa"/>
            <w:shd w:val="clear" w:color="auto" w:fill="D7D7D7"/>
            <w:noWrap w:val="0"/>
            <w:vAlign w:val="center"/>
          </w:tcPr>
          <w:p w14:paraId="76481CC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得分率</w:t>
            </w:r>
          </w:p>
        </w:tc>
      </w:tr>
      <w:tr w14:paraId="1BA49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117" w:type="dxa"/>
            <w:noWrap w:val="0"/>
            <w:vAlign w:val="top"/>
          </w:tcPr>
          <w:p w14:paraId="4E856D9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决策</w:t>
            </w:r>
          </w:p>
        </w:tc>
        <w:tc>
          <w:tcPr>
            <w:tcW w:w="2313" w:type="dxa"/>
            <w:noWrap w:val="0"/>
            <w:vAlign w:val="top"/>
          </w:tcPr>
          <w:p w14:paraId="6983EBB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12</w:t>
            </w:r>
          </w:p>
        </w:tc>
        <w:tc>
          <w:tcPr>
            <w:tcW w:w="2216" w:type="dxa"/>
            <w:noWrap w:val="0"/>
            <w:vAlign w:val="top"/>
          </w:tcPr>
          <w:p w14:paraId="7BC5332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10.7</w:t>
            </w:r>
          </w:p>
        </w:tc>
        <w:tc>
          <w:tcPr>
            <w:tcW w:w="2071" w:type="dxa"/>
            <w:noWrap w:val="0"/>
            <w:vAlign w:val="top"/>
          </w:tcPr>
          <w:p w14:paraId="323D15D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89.17%</w:t>
            </w:r>
          </w:p>
        </w:tc>
      </w:tr>
      <w:tr w14:paraId="4B2D2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7" w:type="dxa"/>
            <w:noWrap w:val="0"/>
            <w:vAlign w:val="top"/>
          </w:tcPr>
          <w:p w14:paraId="0E2364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过程</w:t>
            </w:r>
          </w:p>
        </w:tc>
        <w:tc>
          <w:tcPr>
            <w:tcW w:w="2313" w:type="dxa"/>
            <w:noWrap w:val="0"/>
            <w:vAlign w:val="top"/>
          </w:tcPr>
          <w:p w14:paraId="1B6CA09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15</w:t>
            </w:r>
          </w:p>
        </w:tc>
        <w:tc>
          <w:tcPr>
            <w:tcW w:w="2216" w:type="dxa"/>
            <w:noWrap w:val="0"/>
            <w:vAlign w:val="top"/>
          </w:tcPr>
          <w:p w14:paraId="78B4C0B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12.9</w:t>
            </w:r>
          </w:p>
        </w:tc>
        <w:tc>
          <w:tcPr>
            <w:tcW w:w="2071" w:type="dxa"/>
            <w:noWrap w:val="0"/>
            <w:vAlign w:val="top"/>
          </w:tcPr>
          <w:p w14:paraId="3AAFB7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86.00%</w:t>
            </w:r>
          </w:p>
        </w:tc>
      </w:tr>
      <w:tr w14:paraId="642CD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7" w:type="dxa"/>
            <w:noWrap w:val="0"/>
            <w:vAlign w:val="top"/>
          </w:tcPr>
          <w:p w14:paraId="65A7429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成本</w:t>
            </w:r>
          </w:p>
        </w:tc>
        <w:tc>
          <w:tcPr>
            <w:tcW w:w="2313" w:type="dxa"/>
            <w:noWrap w:val="0"/>
            <w:vAlign w:val="top"/>
          </w:tcPr>
          <w:p w14:paraId="3587E7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13</w:t>
            </w:r>
          </w:p>
        </w:tc>
        <w:tc>
          <w:tcPr>
            <w:tcW w:w="2216" w:type="dxa"/>
            <w:noWrap w:val="0"/>
            <w:vAlign w:val="top"/>
          </w:tcPr>
          <w:p w14:paraId="4591A2D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13</w:t>
            </w:r>
          </w:p>
        </w:tc>
        <w:tc>
          <w:tcPr>
            <w:tcW w:w="2071" w:type="dxa"/>
            <w:noWrap w:val="0"/>
            <w:vAlign w:val="top"/>
          </w:tcPr>
          <w:p w14:paraId="4CD7BB5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100.00%</w:t>
            </w:r>
          </w:p>
        </w:tc>
      </w:tr>
      <w:tr w14:paraId="53422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7" w:type="dxa"/>
            <w:noWrap w:val="0"/>
            <w:vAlign w:val="top"/>
          </w:tcPr>
          <w:p w14:paraId="44AFD77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产出</w:t>
            </w:r>
          </w:p>
        </w:tc>
        <w:tc>
          <w:tcPr>
            <w:tcW w:w="2313" w:type="dxa"/>
            <w:noWrap w:val="0"/>
            <w:vAlign w:val="center"/>
          </w:tcPr>
          <w:p w14:paraId="77CA9E9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25</w:t>
            </w:r>
          </w:p>
        </w:tc>
        <w:tc>
          <w:tcPr>
            <w:tcW w:w="2216" w:type="dxa"/>
            <w:noWrap w:val="0"/>
            <w:vAlign w:val="center"/>
          </w:tcPr>
          <w:p w14:paraId="15AFE7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22.5</w:t>
            </w:r>
          </w:p>
        </w:tc>
        <w:tc>
          <w:tcPr>
            <w:tcW w:w="2071" w:type="dxa"/>
            <w:noWrap w:val="0"/>
            <w:vAlign w:val="top"/>
          </w:tcPr>
          <w:p w14:paraId="62DCFA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 xml:space="preserve"> 94.00%</w:t>
            </w:r>
          </w:p>
        </w:tc>
      </w:tr>
      <w:tr w14:paraId="6D7A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117" w:type="dxa"/>
            <w:noWrap w:val="0"/>
            <w:vAlign w:val="top"/>
          </w:tcPr>
          <w:p w14:paraId="4784494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效益</w:t>
            </w:r>
          </w:p>
        </w:tc>
        <w:tc>
          <w:tcPr>
            <w:tcW w:w="2313" w:type="dxa"/>
            <w:noWrap w:val="0"/>
            <w:vAlign w:val="center"/>
          </w:tcPr>
          <w:p w14:paraId="07B3301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fldChar w:fldCharType="begin"/>
            </w:r>
            <w:r>
              <w:rPr>
                <w:rFonts w:hint="eastAsia" w:ascii="仿宋_GB2312" w:hAnsi="仿宋_GB2312" w:eastAsia="仿宋_GB2312" w:cs="仿宋_GB2312"/>
                <w:b w:val="0"/>
                <w:bCs w:val="0"/>
                <w:color w:val="000000"/>
                <w:kern w:val="0"/>
                <w:sz w:val="24"/>
                <w:szCs w:val="24"/>
                <w:highlight w:val="none"/>
                <w:lang w:val="en-US" w:eastAsia="zh-CN" w:bidi="ar"/>
              </w:rPr>
              <w:instrText xml:space="preserve"> = sum(E2:E9) \* MERGEFORMAT </w:instrText>
            </w:r>
            <w:r>
              <w:rPr>
                <w:rFonts w:hint="eastAsia" w:ascii="仿宋_GB2312" w:hAnsi="仿宋_GB2312" w:eastAsia="仿宋_GB2312" w:cs="仿宋_GB2312"/>
                <w:b w:val="0"/>
                <w:bCs w:val="0"/>
                <w:color w:val="000000"/>
                <w:kern w:val="0"/>
                <w:sz w:val="24"/>
                <w:szCs w:val="24"/>
                <w:highlight w:val="none"/>
                <w:lang w:val="en-US" w:eastAsia="zh-CN" w:bidi="ar"/>
              </w:rPr>
              <w:fldChar w:fldCharType="separate"/>
            </w:r>
            <w:r>
              <w:rPr>
                <w:rFonts w:hint="eastAsia" w:ascii="仿宋_GB2312" w:hAnsi="仿宋_GB2312" w:eastAsia="仿宋_GB2312" w:cs="仿宋_GB2312"/>
                <w:b w:val="0"/>
                <w:bCs w:val="0"/>
                <w:color w:val="000000"/>
                <w:kern w:val="0"/>
                <w:sz w:val="24"/>
                <w:szCs w:val="24"/>
                <w:highlight w:val="none"/>
                <w:lang w:val="en-US" w:eastAsia="zh-CN" w:bidi="ar"/>
              </w:rPr>
              <w:t>35</w:t>
            </w:r>
            <w:r>
              <w:rPr>
                <w:rFonts w:hint="eastAsia" w:ascii="仿宋_GB2312" w:hAnsi="仿宋_GB2312" w:eastAsia="仿宋_GB2312" w:cs="仿宋_GB2312"/>
                <w:b w:val="0"/>
                <w:bCs w:val="0"/>
                <w:color w:val="000000"/>
                <w:kern w:val="0"/>
                <w:sz w:val="24"/>
                <w:szCs w:val="24"/>
                <w:highlight w:val="none"/>
                <w:lang w:val="en-US" w:eastAsia="zh-CN" w:bidi="ar"/>
              </w:rPr>
              <w:fldChar w:fldCharType="end"/>
            </w:r>
          </w:p>
        </w:tc>
        <w:tc>
          <w:tcPr>
            <w:tcW w:w="2216" w:type="dxa"/>
            <w:noWrap w:val="0"/>
            <w:vAlign w:val="center"/>
          </w:tcPr>
          <w:p w14:paraId="6664FBB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30.52</w:t>
            </w:r>
          </w:p>
        </w:tc>
        <w:tc>
          <w:tcPr>
            <w:tcW w:w="2071" w:type="dxa"/>
            <w:noWrap w:val="0"/>
            <w:vAlign w:val="top"/>
          </w:tcPr>
          <w:p w14:paraId="70D0462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87.20%</w:t>
            </w:r>
          </w:p>
        </w:tc>
      </w:tr>
      <w:tr w14:paraId="0B49B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2117" w:type="dxa"/>
            <w:noWrap w:val="0"/>
            <w:vAlign w:val="top"/>
          </w:tcPr>
          <w:p w14:paraId="08B039D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宋体" w:eastAsia="仿宋_GB2312" w:cs="仿宋_GB2312"/>
                <w:b/>
                <w:bCs/>
                <w:color w:val="000000"/>
                <w:kern w:val="0"/>
                <w:sz w:val="24"/>
                <w:szCs w:val="24"/>
                <w:highlight w:val="none"/>
                <w:lang w:val="en-US" w:eastAsia="zh-CN" w:bidi="ar"/>
              </w:rPr>
            </w:pPr>
            <w:r>
              <w:rPr>
                <w:rFonts w:hint="eastAsia" w:ascii="仿宋_GB2312" w:hAnsi="宋体" w:eastAsia="仿宋_GB2312" w:cs="仿宋_GB2312"/>
                <w:b/>
                <w:bCs/>
                <w:color w:val="000000"/>
                <w:kern w:val="0"/>
                <w:sz w:val="24"/>
                <w:szCs w:val="24"/>
                <w:highlight w:val="none"/>
                <w:lang w:val="en-US" w:eastAsia="zh-CN" w:bidi="ar"/>
              </w:rPr>
              <w:t>合计</w:t>
            </w:r>
          </w:p>
        </w:tc>
        <w:tc>
          <w:tcPr>
            <w:tcW w:w="2313" w:type="dxa"/>
            <w:noWrap w:val="0"/>
            <w:vAlign w:val="top"/>
          </w:tcPr>
          <w:p w14:paraId="4DC42F8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color w:val="000000"/>
                <w:kern w:val="0"/>
                <w:sz w:val="24"/>
                <w:szCs w:val="24"/>
                <w:highlight w:val="none"/>
                <w:lang w:val="en-US" w:eastAsia="zh-CN" w:bidi="ar"/>
              </w:rPr>
            </w:pPr>
            <w:r>
              <w:rPr>
                <w:rFonts w:hint="eastAsia" w:ascii="仿宋_GB2312" w:hAnsi="仿宋_GB2312" w:eastAsia="仿宋_GB2312" w:cs="仿宋_GB2312"/>
                <w:b/>
                <w:bCs/>
                <w:color w:val="000000"/>
                <w:kern w:val="0"/>
                <w:sz w:val="24"/>
                <w:szCs w:val="24"/>
                <w:highlight w:val="none"/>
                <w:lang w:val="en-US" w:eastAsia="zh-CN" w:bidi="ar"/>
              </w:rPr>
              <w:fldChar w:fldCharType="begin"/>
            </w:r>
            <w:r>
              <w:rPr>
                <w:rFonts w:hint="eastAsia" w:ascii="仿宋_GB2312" w:hAnsi="仿宋_GB2312" w:eastAsia="仿宋_GB2312" w:cs="仿宋_GB2312"/>
                <w:b/>
                <w:bCs/>
                <w:color w:val="000000"/>
                <w:kern w:val="0"/>
                <w:sz w:val="24"/>
                <w:szCs w:val="24"/>
                <w:highlight w:val="none"/>
                <w:lang w:val="en-US" w:eastAsia="zh-CN" w:bidi="ar"/>
              </w:rPr>
              <w:instrText xml:space="preserve"> = sum(B2:B6) \* MERGEFORMAT </w:instrText>
            </w:r>
            <w:r>
              <w:rPr>
                <w:rFonts w:hint="eastAsia" w:ascii="仿宋_GB2312" w:hAnsi="仿宋_GB2312" w:eastAsia="仿宋_GB2312" w:cs="仿宋_GB2312"/>
                <w:b/>
                <w:bCs/>
                <w:color w:val="000000"/>
                <w:kern w:val="0"/>
                <w:sz w:val="24"/>
                <w:szCs w:val="24"/>
                <w:highlight w:val="none"/>
                <w:lang w:val="en-US" w:eastAsia="zh-CN" w:bidi="ar"/>
              </w:rPr>
              <w:fldChar w:fldCharType="separate"/>
            </w:r>
            <w:r>
              <w:rPr>
                <w:rFonts w:hint="eastAsia" w:ascii="仿宋_GB2312" w:hAnsi="仿宋_GB2312" w:eastAsia="仿宋_GB2312" w:cs="仿宋_GB2312"/>
                <w:b/>
                <w:bCs/>
                <w:color w:val="000000"/>
                <w:kern w:val="0"/>
                <w:sz w:val="24"/>
                <w:szCs w:val="24"/>
                <w:highlight w:val="none"/>
                <w:lang w:val="en-US" w:eastAsia="zh-CN" w:bidi="ar"/>
              </w:rPr>
              <w:t>100</w:t>
            </w:r>
            <w:r>
              <w:rPr>
                <w:rFonts w:hint="eastAsia" w:ascii="仿宋_GB2312" w:hAnsi="仿宋_GB2312" w:eastAsia="仿宋_GB2312" w:cs="仿宋_GB2312"/>
                <w:b/>
                <w:bCs/>
                <w:color w:val="000000"/>
                <w:kern w:val="0"/>
                <w:sz w:val="24"/>
                <w:szCs w:val="24"/>
                <w:highlight w:val="none"/>
                <w:lang w:val="en-US" w:eastAsia="zh-CN" w:bidi="ar"/>
              </w:rPr>
              <w:fldChar w:fldCharType="end"/>
            </w:r>
          </w:p>
        </w:tc>
        <w:tc>
          <w:tcPr>
            <w:tcW w:w="2216" w:type="dxa"/>
            <w:noWrap w:val="0"/>
            <w:vAlign w:val="top"/>
          </w:tcPr>
          <w:p w14:paraId="7E104CB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000000"/>
                <w:kern w:val="0"/>
                <w:sz w:val="24"/>
                <w:szCs w:val="24"/>
                <w:highlight w:val="none"/>
                <w:lang w:val="en-US" w:eastAsia="zh-CN" w:bidi="ar"/>
              </w:rPr>
            </w:pPr>
            <w:r>
              <w:rPr>
                <w:rFonts w:hint="eastAsia" w:ascii="仿宋_GB2312" w:hAnsi="仿宋_GB2312" w:eastAsia="仿宋_GB2312" w:cs="仿宋_GB2312"/>
                <w:b/>
                <w:bCs/>
                <w:color w:val="000000"/>
                <w:kern w:val="0"/>
                <w:sz w:val="24"/>
                <w:szCs w:val="24"/>
                <w:highlight w:val="none"/>
                <w:lang w:val="en-US" w:eastAsia="zh-CN" w:bidi="ar"/>
              </w:rPr>
              <w:t>89.62</w:t>
            </w:r>
          </w:p>
        </w:tc>
        <w:tc>
          <w:tcPr>
            <w:tcW w:w="2071" w:type="dxa"/>
            <w:noWrap w:val="0"/>
            <w:vAlign w:val="top"/>
          </w:tcPr>
          <w:p w14:paraId="1007CA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000000"/>
                <w:kern w:val="0"/>
                <w:sz w:val="24"/>
                <w:szCs w:val="24"/>
                <w:highlight w:val="none"/>
                <w:lang w:val="en-US" w:eastAsia="zh-CN" w:bidi="ar"/>
              </w:rPr>
            </w:pPr>
            <w:r>
              <w:rPr>
                <w:rFonts w:hint="eastAsia" w:ascii="仿宋_GB2312" w:hAnsi="仿宋_GB2312" w:eastAsia="仿宋_GB2312" w:cs="仿宋_GB2312"/>
                <w:b/>
                <w:bCs/>
                <w:color w:val="000000"/>
                <w:kern w:val="0"/>
                <w:sz w:val="24"/>
                <w:szCs w:val="24"/>
                <w:highlight w:val="none"/>
                <w:lang w:val="en-US" w:eastAsia="zh-CN" w:bidi="ar"/>
              </w:rPr>
              <w:t>89.62%</w:t>
            </w:r>
          </w:p>
        </w:tc>
      </w:tr>
      <w:tr w14:paraId="3FE6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7" w:type="dxa"/>
            <w:gridSpan w:val="4"/>
            <w:noWrap w:val="0"/>
            <w:vAlign w:val="top"/>
          </w:tcPr>
          <w:p w14:paraId="41D713D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黑体" w:hAnsi="黑体" w:eastAsia="黑体" w:cs="黑体"/>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绩效评价得分：89.62    综合评价结果等级：良好</w:t>
            </w:r>
          </w:p>
        </w:tc>
      </w:tr>
    </w:tbl>
    <w:p w14:paraId="08B998C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四、绩效评价指标分析</w:t>
      </w:r>
    </w:p>
    <w:p w14:paraId="4F08E6D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（一）项目决策情况</w:t>
      </w:r>
    </w:p>
    <w:p w14:paraId="4C60061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项目决策</w:t>
      </w:r>
      <w:r>
        <w:rPr>
          <w:rFonts w:hint="eastAsia" w:ascii="仿宋_GB2312" w:hAnsi="仿宋_GB2312" w:eastAsia="仿宋_GB2312" w:cs="仿宋_GB2312"/>
          <w:color w:val="auto"/>
          <w:sz w:val="32"/>
          <w:szCs w:val="32"/>
          <w:highlight w:val="none"/>
        </w:rPr>
        <w:t>从项目立项、绩效目标、</w:t>
      </w:r>
      <w:r>
        <w:rPr>
          <w:rFonts w:hint="eastAsia" w:ascii="仿宋_GB2312" w:hAnsi="仿宋_GB2312" w:eastAsia="仿宋_GB2312" w:cs="仿宋_GB2312"/>
          <w:color w:val="auto"/>
          <w:sz w:val="32"/>
          <w:szCs w:val="32"/>
          <w:highlight w:val="none"/>
          <w:lang w:val="en-US" w:eastAsia="zh-CN"/>
        </w:rPr>
        <w:t>资金投入</w:t>
      </w:r>
      <w:r>
        <w:rPr>
          <w:rFonts w:hint="eastAsia" w:ascii="仿宋_GB2312" w:hAnsi="仿宋_GB2312" w:eastAsia="仿宋_GB2312" w:cs="仿宋_GB2312"/>
          <w:color w:val="auto"/>
          <w:sz w:val="32"/>
          <w:szCs w:val="32"/>
          <w:highlight w:val="none"/>
        </w:rPr>
        <w:t>三个方面进行评价。项目</w:t>
      </w:r>
      <w:r>
        <w:rPr>
          <w:rFonts w:hint="eastAsia" w:ascii="仿宋_GB2312" w:hAnsi="仿宋_GB2312" w:eastAsia="仿宋_GB2312" w:cs="仿宋_GB2312"/>
          <w:color w:val="auto"/>
          <w:sz w:val="32"/>
          <w:szCs w:val="32"/>
          <w:highlight w:val="none"/>
          <w:lang w:val="en-US" w:eastAsia="zh-CN"/>
        </w:rPr>
        <w:t>决策</w:t>
      </w:r>
      <w:r>
        <w:rPr>
          <w:rFonts w:hint="eastAsia" w:ascii="仿宋_GB2312" w:hAnsi="仿宋_GB2312" w:eastAsia="仿宋_GB2312" w:cs="仿宋_GB2312"/>
          <w:color w:val="auto"/>
          <w:sz w:val="32"/>
          <w:szCs w:val="32"/>
          <w:highlight w:val="none"/>
        </w:rPr>
        <w:t>满分</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分，得分</w:t>
      </w:r>
      <w:r>
        <w:rPr>
          <w:rFonts w:hint="eastAsia" w:ascii="仿宋_GB2312" w:hAnsi="仿宋_GB2312" w:eastAsia="仿宋_GB2312" w:cs="仿宋_GB2312"/>
          <w:color w:val="auto"/>
          <w:sz w:val="32"/>
          <w:szCs w:val="32"/>
          <w:highlight w:val="none"/>
          <w:lang w:val="en-US" w:eastAsia="zh-CN"/>
        </w:rPr>
        <w:t>10.7</w:t>
      </w:r>
      <w:r>
        <w:rPr>
          <w:rFonts w:hint="eastAsia" w:ascii="仿宋_GB2312" w:hAnsi="仿宋_GB2312" w:eastAsia="仿宋_GB2312" w:cs="仿宋_GB2312"/>
          <w:color w:val="auto"/>
          <w:sz w:val="32"/>
          <w:szCs w:val="32"/>
          <w:highlight w:val="none"/>
        </w:rPr>
        <w:t>分。具体得分详见表</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lang w:eastAsia="zh-CN"/>
        </w:rPr>
        <w:t>。</w:t>
      </w:r>
    </w:p>
    <w:p w14:paraId="1A686530">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Cs/>
          <w:color w:val="auto"/>
          <w:sz w:val="32"/>
          <w:szCs w:val="32"/>
          <w:highlight w:val="none"/>
        </w:rPr>
      </w:pPr>
      <w:r>
        <w:rPr>
          <w:rFonts w:hint="eastAsia" w:ascii="仿宋" w:hAnsi="仿宋" w:eastAsia="仿宋" w:cs="仿宋"/>
          <w:b/>
          <w:bCs/>
          <w:kern w:val="2"/>
          <w:sz w:val="28"/>
          <w:szCs w:val="28"/>
          <w:highlight w:val="none"/>
          <w:lang w:val="en-US" w:eastAsia="zh-CN" w:bidi="ar-SA"/>
        </w:rPr>
        <w:t>表8   项目决策绩效指标分析表</w:t>
      </w:r>
    </w:p>
    <w:tbl>
      <w:tblPr>
        <w:tblStyle w:val="15"/>
        <w:tblW w:w="8759"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804"/>
        <w:gridCol w:w="1607"/>
        <w:gridCol w:w="2829"/>
        <w:gridCol w:w="1082"/>
        <w:gridCol w:w="1082"/>
      </w:tblGrid>
      <w:tr w14:paraId="0B3D7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55" w:type="dxa"/>
            <w:tcBorders>
              <w:left w:val="nil"/>
              <w:tl2br w:val="nil"/>
              <w:tr2bl w:val="nil"/>
            </w:tcBorders>
            <w:shd w:val="clear" w:color="auto" w:fill="D7D7D7"/>
            <w:noWrap w:val="0"/>
            <w:vAlign w:val="center"/>
          </w:tcPr>
          <w:p w14:paraId="46E8EF0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804" w:type="dxa"/>
            <w:tcBorders>
              <w:tl2br w:val="nil"/>
              <w:tr2bl w:val="nil"/>
            </w:tcBorders>
            <w:shd w:val="clear" w:color="auto" w:fill="D7D7D7"/>
            <w:noWrap w:val="0"/>
            <w:vAlign w:val="center"/>
          </w:tcPr>
          <w:p w14:paraId="5B24EECB">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607" w:type="dxa"/>
            <w:tcBorders>
              <w:tl2br w:val="nil"/>
              <w:tr2bl w:val="nil"/>
            </w:tcBorders>
            <w:shd w:val="clear" w:color="auto" w:fill="D7D7D7"/>
            <w:noWrap w:val="0"/>
            <w:vAlign w:val="center"/>
          </w:tcPr>
          <w:p w14:paraId="1EDFF7A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2829" w:type="dxa"/>
            <w:tcBorders>
              <w:tl2br w:val="nil"/>
              <w:tr2bl w:val="nil"/>
            </w:tcBorders>
            <w:shd w:val="clear" w:color="auto" w:fill="D7D7D7"/>
            <w:noWrap w:val="0"/>
            <w:vAlign w:val="center"/>
          </w:tcPr>
          <w:p w14:paraId="61C4243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1082" w:type="dxa"/>
            <w:tcBorders>
              <w:tl2br w:val="nil"/>
              <w:tr2bl w:val="nil"/>
            </w:tcBorders>
            <w:shd w:val="clear" w:color="auto" w:fill="D7D7D7"/>
            <w:noWrap w:val="0"/>
            <w:vAlign w:val="center"/>
          </w:tcPr>
          <w:p w14:paraId="121E3733">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1082" w:type="dxa"/>
            <w:tcBorders>
              <w:right w:val="nil"/>
              <w:tl2br w:val="nil"/>
              <w:tr2bl w:val="nil"/>
            </w:tcBorders>
            <w:shd w:val="clear" w:color="auto" w:fill="D7D7D7"/>
            <w:noWrap w:val="0"/>
            <w:vAlign w:val="center"/>
          </w:tcPr>
          <w:p w14:paraId="76CCEA43">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5A810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restart"/>
            <w:tcBorders>
              <w:left w:val="nil"/>
              <w:tl2br w:val="nil"/>
              <w:tr2bl w:val="nil"/>
            </w:tcBorders>
            <w:shd w:val="clear" w:color="auto" w:fill="auto"/>
            <w:noWrap w:val="0"/>
            <w:vAlign w:val="center"/>
          </w:tcPr>
          <w:p w14:paraId="302E1AB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决策</w:t>
            </w:r>
          </w:p>
        </w:tc>
        <w:tc>
          <w:tcPr>
            <w:tcW w:w="804" w:type="dxa"/>
            <w:vMerge w:val="restart"/>
            <w:tcBorders>
              <w:tl2br w:val="nil"/>
              <w:tr2bl w:val="nil"/>
            </w:tcBorders>
            <w:shd w:val="clear" w:color="auto" w:fill="auto"/>
            <w:noWrap w:val="0"/>
            <w:vAlign w:val="center"/>
          </w:tcPr>
          <w:p w14:paraId="2BA581B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12</w:t>
            </w:r>
          </w:p>
        </w:tc>
        <w:tc>
          <w:tcPr>
            <w:tcW w:w="1607" w:type="dxa"/>
            <w:vMerge w:val="restart"/>
            <w:tcBorders>
              <w:tl2br w:val="nil"/>
              <w:tr2bl w:val="nil"/>
            </w:tcBorders>
            <w:shd w:val="clear" w:color="auto" w:fill="auto"/>
            <w:noWrap w:val="0"/>
            <w:vAlign w:val="center"/>
          </w:tcPr>
          <w:p w14:paraId="51202CC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项目立项</w:t>
            </w:r>
          </w:p>
        </w:tc>
        <w:tc>
          <w:tcPr>
            <w:tcW w:w="2829" w:type="dxa"/>
            <w:tcBorders>
              <w:tl2br w:val="nil"/>
              <w:tr2bl w:val="nil"/>
            </w:tcBorders>
            <w:shd w:val="clear" w:color="auto" w:fill="auto"/>
            <w:noWrap w:val="0"/>
            <w:vAlign w:val="center"/>
          </w:tcPr>
          <w:p w14:paraId="2553427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立项依据充分性</w:t>
            </w:r>
          </w:p>
        </w:tc>
        <w:tc>
          <w:tcPr>
            <w:tcW w:w="1082" w:type="dxa"/>
            <w:tcBorders>
              <w:tl2br w:val="nil"/>
              <w:tr2bl w:val="nil"/>
            </w:tcBorders>
            <w:shd w:val="clear" w:color="auto" w:fill="auto"/>
            <w:noWrap w:val="0"/>
            <w:vAlign w:val="center"/>
          </w:tcPr>
          <w:p w14:paraId="55DB176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6064C14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5538D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1A0184C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510E2EA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5E246D7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0D8BE1A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立项程序规范性</w:t>
            </w:r>
          </w:p>
        </w:tc>
        <w:tc>
          <w:tcPr>
            <w:tcW w:w="1082" w:type="dxa"/>
            <w:tcBorders>
              <w:tl2br w:val="nil"/>
              <w:tr2bl w:val="nil"/>
            </w:tcBorders>
            <w:shd w:val="clear" w:color="auto" w:fill="auto"/>
            <w:noWrap w:val="0"/>
            <w:vAlign w:val="center"/>
          </w:tcPr>
          <w:p w14:paraId="548CDD3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0BCF1F66">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1.5</w:t>
            </w:r>
          </w:p>
        </w:tc>
      </w:tr>
      <w:tr w14:paraId="2081F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1ACA9F5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16030BC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restart"/>
            <w:tcBorders>
              <w:tl2br w:val="nil"/>
              <w:tr2bl w:val="nil"/>
            </w:tcBorders>
            <w:shd w:val="clear" w:color="auto" w:fill="auto"/>
            <w:noWrap w:val="0"/>
            <w:vAlign w:val="center"/>
          </w:tcPr>
          <w:p w14:paraId="0796AE3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绩效目标</w:t>
            </w:r>
          </w:p>
        </w:tc>
        <w:tc>
          <w:tcPr>
            <w:tcW w:w="2829" w:type="dxa"/>
            <w:tcBorders>
              <w:tl2br w:val="nil"/>
              <w:tr2bl w:val="nil"/>
            </w:tcBorders>
            <w:shd w:val="clear" w:color="auto" w:fill="auto"/>
            <w:noWrap w:val="0"/>
            <w:vAlign w:val="center"/>
          </w:tcPr>
          <w:p w14:paraId="4BF4436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绩效目标合理性</w:t>
            </w:r>
          </w:p>
        </w:tc>
        <w:tc>
          <w:tcPr>
            <w:tcW w:w="1082" w:type="dxa"/>
            <w:tcBorders>
              <w:tl2br w:val="nil"/>
              <w:tr2bl w:val="nil"/>
            </w:tcBorders>
            <w:shd w:val="clear" w:color="auto" w:fill="auto"/>
            <w:noWrap w:val="0"/>
            <w:vAlign w:val="center"/>
          </w:tcPr>
          <w:p w14:paraId="64FF307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2F315FAD">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066E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51B3AED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4C05DF2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081190E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12E9964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绩效指标明确性</w:t>
            </w:r>
          </w:p>
        </w:tc>
        <w:tc>
          <w:tcPr>
            <w:tcW w:w="1082" w:type="dxa"/>
            <w:tcBorders>
              <w:tl2br w:val="nil"/>
              <w:tr2bl w:val="nil"/>
            </w:tcBorders>
            <w:shd w:val="clear" w:color="auto" w:fill="auto"/>
            <w:noWrap w:val="0"/>
            <w:vAlign w:val="center"/>
          </w:tcPr>
          <w:p w14:paraId="6866589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10F180BD">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5225A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08D9AC3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6536C5E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restart"/>
            <w:tcBorders>
              <w:tl2br w:val="nil"/>
              <w:tr2bl w:val="nil"/>
            </w:tcBorders>
            <w:shd w:val="clear" w:color="auto" w:fill="auto"/>
            <w:noWrap w:val="0"/>
            <w:vAlign w:val="center"/>
          </w:tcPr>
          <w:p w14:paraId="308878C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资金投入</w:t>
            </w:r>
          </w:p>
        </w:tc>
        <w:tc>
          <w:tcPr>
            <w:tcW w:w="2829" w:type="dxa"/>
            <w:tcBorders>
              <w:tl2br w:val="nil"/>
              <w:tr2bl w:val="nil"/>
            </w:tcBorders>
            <w:shd w:val="clear" w:color="auto" w:fill="auto"/>
            <w:noWrap w:val="0"/>
            <w:vAlign w:val="center"/>
          </w:tcPr>
          <w:p w14:paraId="7343C3D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预算编制科学性</w:t>
            </w:r>
          </w:p>
        </w:tc>
        <w:tc>
          <w:tcPr>
            <w:tcW w:w="1082" w:type="dxa"/>
            <w:tcBorders>
              <w:tl2br w:val="nil"/>
              <w:tr2bl w:val="nil"/>
            </w:tcBorders>
            <w:shd w:val="clear" w:color="auto" w:fill="auto"/>
            <w:noWrap w:val="0"/>
            <w:vAlign w:val="center"/>
          </w:tcPr>
          <w:p w14:paraId="170513C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713F6BE7">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3AE14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1F4500A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7524DB0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3A10ED1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7B80D9D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资金分配合理性</w:t>
            </w:r>
          </w:p>
        </w:tc>
        <w:tc>
          <w:tcPr>
            <w:tcW w:w="1082" w:type="dxa"/>
            <w:tcBorders>
              <w:tl2br w:val="nil"/>
              <w:tr2bl w:val="nil"/>
            </w:tcBorders>
            <w:shd w:val="clear" w:color="auto" w:fill="auto"/>
            <w:noWrap w:val="0"/>
            <w:vAlign w:val="center"/>
          </w:tcPr>
          <w:p w14:paraId="3B4114F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4FC7B74D">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687F8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tcBorders>
              <w:left w:val="nil"/>
              <w:tl2br w:val="nil"/>
              <w:tr2bl w:val="nil"/>
            </w:tcBorders>
            <w:shd w:val="clear" w:color="auto" w:fill="auto"/>
            <w:noWrap w:val="0"/>
            <w:vAlign w:val="center"/>
          </w:tcPr>
          <w:p w14:paraId="1CA6BC2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合计</w:t>
            </w:r>
          </w:p>
        </w:tc>
        <w:tc>
          <w:tcPr>
            <w:tcW w:w="804" w:type="dxa"/>
            <w:tcBorders>
              <w:tl2br w:val="nil"/>
              <w:tr2bl w:val="nil"/>
            </w:tcBorders>
            <w:shd w:val="clear" w:color="auto" w:fill="auto"/>
            <w:noWrap w:val="0"/>
            <w:vAlign w:val="center"/>
          </w:tcPr>
          <w:p w14:paraId="11C6A53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12</w:t>
            </w:r>
          </w:p>
        </w:tc>
        <w:tc>
          <w:tcPr>
            <w:tcW w:w="1607" w:type="dxa"/>
            <w:tcBorders>
              <w:tl2br w:val="nil"/>
              <w:tr2bl w:val="nil"/>
            </w:tcBorders>
            <w:shd w:val="clear" w:color="auto" w:fill="auto"/>
            <w:noWrap w:val="0"/>
            <w:vAlign w:val="center"/>
          </w:tcPr>
          <w:p w14:paraId="7666FB01">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t>—</w:t>
            </w:r>
          </w:p>
        </w:tc>
        <w:tc>
          <w:tcPr>
            <w:tcW w:w="2829" w:type="dxa"/>
            <w:tcBorders>
              <w:tl2br w:val="nil"/>
              <w:tr2bl w:val="nil"/>
            </w:tcBorders>
            <w:shd w:val="clear" w:color="auto" w:fill="auto"/>
            <w:noWrap w:val="0"/>
            <w:vAlign w:val="center"/>
          </w:tcPr>
          <w:p w14:paraId="31A8F73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w:t>
            </w:r>
          </w:p>
        </w:tc>
        <w:tc>
          <w:tcPr>
            <w:tcW w:w="1082" w:type="dxa"/>
            <w:tcBorders>
              <w:tl2br w:val="nil"/>
              <w:tr2bl w:val="nil"/>
            </w:tcBorders>
            <w:shd w:val="clear" w:color="auto" w:fill="auto"/>
            <w:noWrap w:val="0"/>
            <w:vAlign w:val="center"/>
          </w:tcPr>
          <w:p w14:paraId="207CDD46">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fldChar w:fldCharType="begin"/>
            </w:r>
            <w:r>
              <w:rPr>
                <w:rFonts w:hint="eastAsia" w:ascii="仿宋_GB2312" w:hAnsi="仿宋_GB2312" w:eastAsia="仿宋_GB2312" w:cs="仿宋_GB2312"/>
                <w:b/>
                <w:bCs/>
                <w:color w:val="auto"/>
                <w:sz w:val="24"/>
                <w:szCs w:val="24"/>
                <w:highlight w:val="none"/>
              </w:rPr>
              <w:instrText xml:space="preserve"> = sum(E2:E7) \* MERGEFORMAT </w:instrText>
            </w:r>
            <w:r>
              <w:rPr>
                <w:rFonts w:hint="eastAsia" w:ascii="仿宋_GB2312" w:hAnsi="仿宋_GB2312" w:eastAsia="仿宋_GB2312" w:cs="仿宋_GB2312"/>
                <w:b/>
                <w:bCs/>
                <w:color w:val="auto"/>
                <w:sz w:val="24"/>
                <w:szCs w:val="24"/>
                <w:highlight w:val="none"/>
              </w:rPr>
              <w:fldChar w:fldCharType="separate"/>
            </w:r>
            <w:r>
              <w:rPr>
                <w:rFonts w:hint="eastAsia" w:ascii="仿宋_GB2312" w:hAnsi="仿宋_GB2312" w:eastAsia="仿宋_GB2312" w:cs="仿宋_GB2312"/>
                <w:b/>
                <w:bCs/>
                <w:color w:val="auto"/>
                <w:sz w:val="24"/>
                <w:szCs w:val="24"/>
                <w:highlight w:val="none"/>
              </w:rPr>
              <w:t>12</w:t>
            </w:r>
            <w:r>
              <w:rPr>
                <w:rFonts w:hint="eastAsia" w:ascii="仿宋_GB2312" w:hAnsi="仿宋_GB2312" w:eastAsia="仿宋_GB2312" w:cs="仿宋_GB2312"/>
                <w:b/>
                <w:bCs/>
                <w:color w:val="auto"/>
                <w:sz w:val="24"/>
                <w:szCs w:val="24"/>
                <w:highlight w:val="none"/>
              </w:rPr>
              <w:fldChar w:fldCharType="end"/>
            </w:r>
          </w:p>
        </w:tc>
        <w:tc>
          <w:tcPr>
            <w:tcW w:w="1082" w:type="dxa"/>
            <w:tcBorders>
              <w:right w:val="nil"/>
              <w:tl2br w:val="nil"/>
              <w:tr2bl w:val="nil"/>
            </w:tcBorders>
            <w:shd w:val="clear" w:color="auto" w:fill="auto"/>
            <w:noWrap w:val="0"/>
            <w:vAlign w:val="center"/>
          </w:tcPr>
          <w:p w14:paraId="4877A65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10.7</w:t>
            </w:r>
          </w:p>
        </w:tc>
      </w:tr>
    </w:tbl>
    <w:p w14:paraId="378FAE0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1.项目立项方面</w:t>
      </w:r>
    </w:p>
    <w:p w14:paraId="29625DA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（1）立项依据充分性方面。项目的立项均符合国家相关法律、法规和政策规定，符合国家财政专项资金支持方向，符合扶风县市政基础设施建设及经济社会发展的需要。</w:t>
      </w:r>
    </w:p>
    <w:p w14:paraId="189EE9F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（2）立项程序规范性方面。项目基本能按照规定的申请程序、审核程序、评估程序进行立项，程序规范。但项目实施方案不详实，绩效评估工作存在不足。</w:t>
      </w:r>
    </w:p>
    <w:p w14:paraId="124E3E1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2.绩效目标方面</w:t>
      </w:r>
    </w:p>
    <w:p w14:paraId="5FD4308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（1）绩效目标合理性方面。项目有预期绩效目标，绩效目标设置较为合理</w:t>
      </w:r>
      <w:r>
        <w:rPr>
          <w:rFonts w:hint="eastAsia" w:ascii="仿宋_GB2312" w:hAnsi="仿宋_GB2312" w:eastAsia="仿宋_GB2312" w:cs="仿宋_GB2312"/>
          <w:color w:val="auto"/>
          <w:kern w:val="2"/>
          <w:sz w:val="32"/>
          <w:szCs w:val="32"/>
          <w:highlight w:val="none"/>
          <w:lang w:val="en-US" w:eastAsia="zh-CN" w:bidi="ar-SA"/>
        </w:rPr>
        <w:t>。</w:t>
      </w:r>
    </w:p>
    <w:p w14:paraId="7E95D5F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（2）绩效指标明确性方面。项目有预期绩效目标，绩效目标设置</w:t>
      </w:r>
      <w:r>
        <w:rPr>
          <w:rFonts w:hint="eastAsia" w:ascii="仿宋_GB2312" w:hAnsi="仿宋_GB2312" w:eastAsia="仿宋_GB2312" w:cs="仿宋_GB2312"/>
          <w:color w:val="auto"/>
          <w:kern w:val="2"/>
          <w:sz w:val="32"/>
          <w:szCs w:val="32"/>
          <w:highlight w:val="none"/>
          <w:lang w:val="en-US" w:eastAsia="zh-CN" w:bidi="ar-SA"/>
        </w:rPr>
        <w:t>较为明确。</w:t>
      </w:r>
    </w:p>
    <w:p w14:paraId="615F62B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3.资金投入方面</w:t>
      </w:r>
    </w:p>
    <w:p w14:paraId="18EBB16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（1）预算编制科学性方面。项目估算金额（716.00万元）与项目需求执行资金（工程建设及其他费用总额为659.14万元）差异率约为7.94%。</w:t>
      </w:r>
    </w:p>
    <w:p w14:paraId="451E441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（2）资金分配合理性方面。财政2024年度安排的预算资金与项目年度实际需求资金基本一致。</w:t>
      </w:r>
    </w:p>
    <w:p w14:paraId="51AD940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评价组认为，项目决策从整体上看，立项规范、决策依据较为充分，程序合规，符合相关政策，项目预算较为精准。但项目前期相关工作不到位，事前绩效评估等工作存在不足。</w:t>
      </w:r>
    </w:p>
    <w:p w14:paraId="206D8BD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（二）项目过程情况</w:t>
      </w:r>
    </w:p>
    <w:p w14:paraId="11EEC0B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项目过程从资金管理和组织实施两个方面进行评价。项目过程满分15分，得分12.9分。具体得分详见表9。</w:t>
      </w:r>
    </w:p>
    <w:p w14:paraId="4D7D15C4">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表9  项目过程绩效指标分析表</w:t>
      </w:r>
    </w:p>
    <w:tbl>
      <w:tblPr>
        <w:tblStyle w:val="15"/>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812"/>
        <w:gridCol w:w="1563"/>
        <w:gridCol w:w="2660"/>
        <w:gridCol w:w="967"/>
        <w:gridCol w:w="1183"/>
      </w:tblGrid>
      <w:tr w14:paraId="5C50F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496" w:type="dxa"/>
            <w:tcBorders>
              <w:left w:val="nil"/>
              <w:tl2br w:val="nil"/>
              <w:tr2bl w:val="nil"/>
            </w:tcBorders>
            <w:shd w:val="clear" w:color="auto" w:fill="D7D7D7"/>
            <w:noWrap w:val="0"/>
            <w:vAlign w:val="center"/>
          </w:tcPr>
          <w:p w14:paraId="4AD8F32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812" w:type="dxa"/>
            <w:tcBorders>
              <w:tl2br w:val="nil"/>
              <w:tr2bl w:val="nil"/>
            </w:tcBorders>
            <w:shd w:val="clear" w:color="auto" w:fill="D7D7D7"/>
            <w:noWrap w:val="0"/>
            <w:vAlign w:val="center"/>
          </w:tcPr>
          <w:p w14:paraId="34AFA6A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563" w:type="dxa"/>
            <w:tcBorders>
              <w:tl2br w:val="nil"/>
              <w:tr2bl w:val="nil"/>
            </w:tcBorders>
            <w:shd w:val="clear" w:color="auto" w:fill="D7D7D7"/>
            <w:noWrap w:val="0"/>
            <w:vAlign w:val="center"/>
          </w:tcPr>
          <w:p w14:paraId="00AB09A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2660" w:type="dxa"/>
            <w:tcBorders>
              <w:tl2br w:val="nil"/>
              <w:tr2bl w:val="nil"/>
            </w:tcBorders>
            <w:shd w:val="clear" w:color="auto" w:fill="D7D7D7"/>
            <w:noWrap w:val="0"/>
            <w:vAlign w:val="center"/>
          </w:tcPr>
          <w:p w14:paraId="3F810B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67" w:type="dxa"/>
            <w:tcBorders>
              <w:tl2br w:val="nil"/>
              <w:tr2bl w:val="nil"/>
            </w:tcBorders>
            <w:shd w:val="clear" w:color="auto" w:fill="D7D7D7"/>
            <w:noWrap w:val="0"/>
            <w:vAlign w:val="center"/>
          </w:tcPr>
          <w:p w14:paraId="57D648B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40FE1D0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7A1DE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496" w:type="dxa"/>
            <w:vMerge w:val="restart"/>
            <w:tcBorders>
              <w:left w:val="nil"/>
              <w:tl2br w:val="nil"/>
              <w:tr2bl w:val="nil"/>
            </w:tcBorders>
            <w:noWrap w:val="0"/>
            <w:vAlign w:val="center"/>
          </w:tcPr>
          <w:p w14:paraId="4A01830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过程</w:t>
            </w:r>
          </w:p>
        </w:tc>
        <w:tc>
          <w:tcPr>
            <w:tcW w:w="812" w:type="dxa"/>
            <w:vMerge w:val="restart"/>
            <w:tcBorders>
              <w:tl2br w:val="nil"/>
              <w:tr2bl w:val="nil"/>
            </w:tcBorders>
            <w:noWrap w:val="0"/>
            <w:vAlign w:val="center"/>
          </w:tcPr>
          <w:p w14:paraId="03E04B4F">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15</w:t>
            </w:r>
          </w:p>
        </w:tc>
        <w:tc>
          <w:tcPr>
            <w:tcW w:w="1563" w:type="dxa"/>
            <w:vMerge w:val="restart"/>
            <w:tcBorders>
              <w:tl2br w:val="nil"/>
              <w:tr2bl w:val="nil"/>
            </w:tcBorders>
            <w:noWrap w:val="0"/>
            <w:vAlign w:val="center"/>
          </w:tcPr>
          <w:p w14:paraId="5BB0EDC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资金管理</w:t>
            </w:r>
          </w:p>
        </w:tc>
        <w:tc>
          <w:tcPr>
            <w:tcW w:w="2660" w:type="dxa"/>
            <w:tcBorders>
              <w:tl2br w:val="nil"/>
              <w:tr2bl w:val="nil"/>
            </w:tcBorders>
            <w:noWrap w:val="0"/>
            <w:vAlign w:val="center"/>
          </w:tcPr>
          <w:p w14:paraId="0164FC2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资金到位率</w:t>
            </w:r>
          </w:p>
        </w:tc>
        <w:tc>
          <w:tcPr>
            <w:tcW w:w="967" w:type="dxa"/>
            <w:tcBorders>
              <w:tl2br w:val="nil"/>
              <w:tr2bl w:val="nil"/>
            </w:tcBorders>
            <w:noWrap w:val="0"/>
            <w:vAlign w:val="center"/>
          </w:tcPr>
          <w:p w14:paraId="00F10D4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bottom w:val="single" w:color="000000" w:sz="4" w:space="0"/>
              <w:right w:val="nil"/>
              <w:tl2br w:val="nil"/>
              <w:tr2bl w:val="nil"/>
            </w:tcBorders>
            <w:noWrap w:val="0"/>
            <w:vAlign w:val="center"/>
          </w:tcPr>
          <w:p w14:paraId="2FBD6CC0">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48D22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496" w:type="dxa"/>
            <w:vMerge w:val="continue"/>
            <w:tcBorders>
              <w:left w:val="nil"/>
              <w:tl2br w:val="nil"/>
              <w:tr2bl w:val="nil"/>
            </w:tcBorders>
            <w:noWrap w:val="0"/>
            <w:vAlign w:val="center"/>
          </w:tcPr>
          <w:p w14:paraId="462AA1A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08D3E64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6073CFD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3A3ED85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预算执行率</w:t>
            </w:r>
          </w:p>
        </w:tc>
        <w:tc>
          <w:tcPr>
            <w:tcW w:w="967" w:type="dxa"/>
            <w:tcBorders>
              <w:tl2br w:val="nil"/>
              <w:tr2bl w:val="nil"/>
            </w:tcBorders>
            <w:noWrap w:val="0"/>
            <w:vAlign w:val="center"/>
          </w:tcPr>
          <w:p w14:paraId="077090F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38FF154D">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19135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96" w:type="dxa"/>
            <w:vMerge w:val="continue"/>
            <w:tcBorders>
              <w:left w:val="nil"/>
              <w:tl2br w:val="nil"/>
              <w:tr2bl w:val="nil"/>
            </w:tcBorders>
            <w:noWrap w:val="0"/>
            <w:vAlign w:val="center"/>
          </w:tcPr>
          <w:p w14:paraId="29E0ABD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6B540CA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7A273A8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3C243B7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资金使用合规性</w:t>
            </w:r>
          </w:p>
        </w:tc>
        <w:tc>
          <w:tcPr>
            <w:tcW w:w="967" w:type="dxa"/>
            <w:tcBorders>
              <w:tl2br w:val="nil"/>
              <w:tr2bl w:val="nil"/>
            </w:tcBorders>
            <w:noWrap w:val="0"/>
            <w:vAlign w:val="center"/>
          </w:tcPr>
          <w:p w14:paraId="33AAF09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741D8C7F">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51C33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496" w:type="dxa"/>
            <w:vMerge w:val="continue"/>
            <w:tcBorders>
              <w:left w:val="nil"/>
              <w:tl2br w:val="nil"/>
              <w:tr2bl w:val="nil"/>
            </w:tcBorders>
            <w:noWrap w:val="0"/>
            <w:vAlign w:val="center"/>
          </w:tcPr>
          <w:p w14:paraId="42C02CD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2DCF0A5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restart"/>
            <w:tcBorders>
              <w:tl2br w:val="nil"/>
              <w:tr2bl w:val="nil"/>
            </w:tcBorders>
            <w:noWrap w:val="0"/>
            <w:vAlign w:val="center"/>
          </w:tcPr>
          <w:p w14:paraId="7FD1460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组织实施</w:t>
            </w:r>
          </w:p>
        </w:tc>
        <w:tc>
          <w:tcPr>
            <w:tcW w:w="2660" w:type="dxa"/>
            <w:tcBorders>
              <w:tl2br w:val="nil"/>
              <w:tr2bl w:val="nil"/>
            </w:tcBorders>
            <w:noWrap w:val="0"/>
            <w:vAlign w:val="center"/>
          </w:tcPr>
          <w:p w14:paraId="53B9A58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管理制度健全性</w:t>
            </w:r>
          </w:p>
        </w:tc>
        <w:tc>
          <w:tcPr>
            <w:tcW w:w="967" w:type="dxa"/>
            <w:tcBorders>
              <w:tl2br w:val="nil"/>
              <w:tr2bl w:val="nil"/>
            </w:tcBorders>
            <w:noWrap w:val="0"/>
            <w:vAlign w:val="center"/>
          </w:tcPr>
          <w:p w14:paraId="08258B7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2A8BA266">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2.4</w:t>
            </w:r>
          </w:p>
        </w:tc>
      </w:tr>
      <w:tr w14:paraId="4C7C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496" w:type="dxa"/>
            <w:vMerge w:val="continue"/>
            <w:tcBorders>
              <w:left w:val="nil"/>
              <w:tl2br w:val="nil"/>
              <w:tr2bl w:val="nil"/>
            </w:tcBorders>
            <w:noWrap w:val="0"/>
            <w:vAlign w:val="center"/>
          </w:tcPr>
          <w:p w14:paraId="1BD1ECB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05756DD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102110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3F2BC1C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制度执行有效性</w:t>
            </w:r>
          </w:p>
        </w:tc>
        <w:tc>
          <w:tcPr>
            <w:tcW w:w="967" w:type="dxa"/>
            <w:tcBorders>
              <w:tl2br w:val="nil"/>
              <w:tr2bl w:val="nil"/>
            </w:tcBorders>
            <w:noWrap w:val="0"/>
            <w:vAlign w:val="center"/>
          </w:tcPr>
          <w:p w14:paraId="1A8A2D5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2EF4674E">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1.5</w:t>
            </w:r>
          </w:p>
        </w:tc>
      </w:tr>
      <w:tr w14:paraId="373E1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9" w:hRule="atLeast"/>
        </w:trPr>
        <w:tc>
          <w:tcPr>
            <w:tcW w:w="1496" w:type="dxa"/>
            <w:tcBorders>
              <w:left w:val="nil"/>
              <w:tl2br w:val="nil"/>
              <w:tr2bl w:val="nil"/>
            </w:tcBorders>
            <w:noWrap w:val="0"/>
            <w:vAlign w:val="center"/>
          </w:tcPr>
          <w:p w14:paraId="408C2337">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合计</w:t>
            </w:r>
          </w:p>
        </w:tc>
        <w:tc>
          <w:tcPr>
            <w:tcW w:w="812" w:type="dxa"/>
            <w:tcBorders>
              <w:tl2br w:val="nil"/>
              <w:tr2bl w:val="nil"/>
            </w:tcBorders>
            <w:noWrap w:val="0"/>
            <w:vAlign w:val="center"/>
          </w:tcPr>
          <w:p w14:paraId="73C51465">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15</w:t>
            </w:r>
          </w:p>
        </w:tc>
        <w:tc>
          <w:tcPr>
            <w:tcW w:w="1563" w:type="dxa"/>
            <w:tcBorders>
              <w:tl2br w:val="nil"/>
              <w:tr2bl w:val="nil"/>
            </w:tcBorders>
            <w:noWrap w:val="0"/>
            <w:vAlign w:val="center"/>
          </w:tcPr>
          <w:p w14:paraId="5D44F372">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w:t>
            </w:r>
          </w:p>
        </w:tc>
        <w:tc>
          <w:tcPr>
            <w:tcW w:w="2660" w:type="dxa"/>
            <w:tcBorders>
              <w:tl2br w:val="nil"/>
              <w:tr2bl w:val="nil"/>
            </w:tcBorders>
            <w:noWrap w:val="0"/>
            <w:vAlign w:val="center"/>
          </w:tcPr>
          <w:p w14:paraId="210DD108">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w:t>
            </w:r>
          </w:p>
        </w:tc>
        <w:tc>
          <w:tcPr>
            <w:tcW w:w="967" w:type="dxa"/>
            <w:tcBorders>
              <w:tl2br w:val="nil"/>
              <w:tr2bl w:val="nil"/>
            </w:tcBorders>
            <w:noWrap w:val="0"/>
            <w:vAlign w:val="center"/>
          </w:tcPr>
          <w:p w14:paraId="2994950E">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15</w:t>
            </w:r>
          </w:p>
        </w:tc>
        <w:tc>
          <w:tcPr>
            <w:tcW w:w="1183" w:type="dxa"/>
            <w:tcBorders>
              <w:right w:val="nil"/>
              <w:tl2br w:val="nil"/>
              <w:tr2bl w:val="nil"/>
            </w:tcBorders>
            <w:noWrap w:val="0"/>
            <w:vAlign w:val="center"/>
          </w:tcPr>
          <w:p w14:paraId="6186B495">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4"/>
                <w:szCs w:val="24"/>
                <w:highlight w:val="none"/>
                <w:u w:val="none"/>
                <w:lang w:val="en-US" w:eastAsia="zh-CN" w:bidi="ar"/>
              </w:rPr>
            </w:pPr>
            <w:r>
              <w:rPr>
                <w:rFonts w:hint="default" w:ascii="仿宋_GB2312" w:hAnsi="仿宋_GB2312" w:eastAsia="仿宋_GB2312" w:cs="仿宋_GB2312"/>
                <w:b/>
                <w:bCs/>
                <w:i w:val="0"/>
                <w:iCs w:val="0"/>
                <w:color w:val="000000"/>
                <w:kern w:val="0"/>
                <w:sz w:val="24"/>
                <w:szCs w:val="24"/>
                <w:highlight w:val="none"/>
                <w:u w:val="none"/>
                <w:lang w:val="en-US" w:eastAsia="zh-CN" w:bidi="ar"/>
              </w:rPr>
              <w:fldChar w:fldCharType="begin"/>
            </w:r>
            <w:r>
              <w:rPr>
                <w:rFonts w:hint="default" w:ascii="仿宋_GB2312" w:hAnsi="仿宋_GB2312" w:eastAsia="仿宋_GB2312" w:cs="仿宋_GB2312"/>
                <w:b/>
                <w:bCs/>
                <w:i w:val="0"/>
                <w:iCs w:val="0"/>
                <w:color w:val="000000"/>
                <w:kern w:val="0"/>
                <w:sz w:val="24"/>
                <w:szCs w:val="24"/>
                <w:highlight w:val="none"/>
                <w:u w:val="none"/>
                <w:lang w:val="en-US" w:eastAsia="zh-CN" w:bidi="ar"/>
              </w:rPr>
              <w:instrText xml:space="preserve"> = sum(F2:F6) \* MERGEFORMAT </w:instrText>
            </w:r>
            <w:r>
              <w:rPr>
                <w:rFonts w:hint="default" w:ascii="仿宋_GB2312" w:hAnsi="仿宋_GB2312" w:eastAsia="仿宋_GB2312" w:cs="仿宋_GB2312"/>
                <w:b/>
                <w:bCs/>
                <w:i w:val="0"/>
                <w:iCs w:val="0"/>
                <w:color w:val="000000"/>
                <w:kern w:val="0"/>
                <w:sz w:val="24"/>
                <w:szCs w:val="24"/>
                <w:highlight w:val="none"/>
                <w:u w:val="none"/>
                <w:lang w:val="en-US" w:eastAsia="zh-CN" w:bidi="ar"/>
              </w:rPr>
              <w:fldChar w:fldCharType="separate"/>
            </w:r>
            <w:r>
              <w:rPr>
                <w:rFonts w:hint="eastAsia" w:ascii="仿宋_GB2312" w:hAnsi="仿宋_GB2312" w:eastAsia="仿宋_GB2312" w:cs="仿宋_GB2312"/>
                <w:b/>
                <w:bCs/>
                <w:i w:val="0"/>
                <w:iCs w:val="0"/>
                <w:color w:val="000000"/>
                <w:kern w:val="0"/>
                <w:sz w:val="24"/>
                <w:szCs w:val="24"/>
                <w:highlight w:val="none"/>
                <w:u w:val="none"/>
                <w:lang w:val="en-US" w:eastAsia="zh-CN" w:bidi="ar"/>
              </w:rPr>
              <w:t>1</w:t>
            </w:r>
            <w:r>
              <w:rPr>
                <w:rFonts w:hint="default" w:ascii="仿宋_GB2312" w:hAnsi="仿宋_GB2312" w:eastAsia="仿宋_GB2312" w:cs="仿宋_GB2312"/>
                <w:b/>
                <w:bCs/>
                <w:i w:val="0"/>
                <w:iCs w:val="0"/>
                <w:color w:val="000000"/>
                <w:kern w:val="0"/>
                <w:sz w:val="24"/>
                <w:szCs w:val="24"/>
                <w:highlight w:val="none"/>
                <w:u w:val="none"/>
                <w:lang w:val="en-US" w:eastAsia="zh-CN" w:bidi="ar"/>
              </w:rPr>
              <w:fldChar w:fldCharType="end"/>
            </w:r>
            <w:r>
              <w:rPr>
                <w:rFonts w:hint="eastAsia" w:ascii="仿宋_GB2312" w:hAnsi="仿宋_GB2312" w:eastAsia="仿宋_GB2312" w:cs="仿宋_GB2312"/>
                <w:b/>
                <w:bCs/>
                <w:i w:val="0"/>
                <w:iCs w:val="0"/>
                <w:color w:val="000000"/>
                <w:kern w:val="0"/>
                <w:sz w:val="24"/>
                <w:szCs w:val="24"/>
                <w:highlight w:val="none"/>
                <w:u w:val="none"/>
                <w:lang w:val="en-US" w:eastAsia="zh-CN" w:bidi="ar"/>
              </w:rPr>
              <w:t>2.9</w:t>
            </w:r>
          </w:p>
        </w:tc>
      </w:tr>
    </w:tbl>
    <w:p w14:paraId="5170501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1.资金管理方面</w:t>
      </w:r>
    </w:p>
    <w:p w14:paraId="73BB10A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（1）资金到位率方面。该项目财政预算资金为400.00万元，财政部门拨付到位资金</w:t>
      </w:r>
      <w:r>
        <w:rPr>
          <w:rFonts w:hint="eastAsia" w:ascii="仿宋_GB2312" w:hAnsi="仿宋_GB2312" w:eastAsia="仿宋_GB2312" w:cs="仿宋_GB2312"/>
          <w:color w:val="auto"/>
          <w:kern w:val="2"/>
          <w:sz w:val="32"/>
          <w:szCs w:val="32"/>
          <w:highlight w:val="none"/>
          <w:lang w:val="en-US" w:eastAsia="zh-CN" w:bidi="ar-SA"/>
        </w:rPr>
        <w:t>400.00万元</w:t>
      </w:r>
      <w:r>
        <w:rPr>
          <w:rFonts w:hint="eastAsia" w:ascii="仿宋_GB2312" w:hAnsi="仿宋_GB2312" w:eastAsia="仿宋_GB2312" w:cs="仿宋_GB2312"/>
          <w:color w:val="auto"/>
          <w:sz w:val="32"/>
          <w:szCs w:val="32"/>
          <w:highlight w:val="none"/>
          <w:lang w:val="en-US" w:eastAsia="zh-CN"/>
        </w:rPr>
        <w:t>,预算资金到位率100%。</w:t>
      </w:r>
    </w:p>
    <w:p w14:paraId="0293769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（2）预算执行率方面。截至评价日，</w:t>
      </w:r>
      <w:r>
        <w:rPr>
          <w:rFonts w:hint="eastAsia" w:ascii="仿宋_GB2312" w:hAnsi="仿宋_GB2312" w:eastAsia="仿宋_GB2312" w:cs="仿宋_GB2312"/>
          <w:kern w:val="2"/>
          <w:sz w:val="32"/>
          <w:szCs w:val="32"/>
          <w:highlight w:val="none"/>
          <w:lang w:val="en-US" w:eastAsia="zh-CN" w:bidi="ar-SA"/>
        </w:rPr>
        <w:t>项目共支出资金</w:t>
      </w:r>
      <w:r>
        <w:rPr>
          <w:rFonts w:hint="eastAsia" w:ascii="仿宋_GB2312" w:hAnsi="仿宋_GB2312" w:eastAsia="仿宋_GB2312" w:cs="仿宋_GB2312"/>
          <w:color w:val="auto"/>
          <w:kern w:val="2"/>
          <w:sz w:val="32"/>
          <w:szCs w:val="32"/>
          <w:highlight w:val="none"/>
          <w:lang w:val="en-US" w:eastAsia="zh-CN" w:bidi="ar-SA"/>
        </w:rPr>
        <w:t>400.00万元</w:t>
      </w:r>
      <w:r>
        <w:rPr>
          <w:rFonts w:hint="eastAsia" w:ascii="仿宋_GB2312" w:hAnsi="仿宋_GB2312" w:eastAsia="仿宋_GB2312" w:cs="仿宋_GB2312"/>
          <w:kern w:val="2"/>
          <w:sz w:val="32"/>
          <w:szCs w:val="32"/>
          <w:highlight w:val="none"/>
          <w:lang w:val="en-US" w:eastAsia="zh-CN" w:bidi="ar-SA"/>
        </w:rPr>
        <w:t>,项目预算资金执行率为100%。</w:t>
      </w:r>
    </w:p>
    <w:p w14:paraId="31D0210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（3）资金使用合规性方面。项目资金支出符合国家有关政策及其专项资金管理办法等相关规定，手续齐全，未发现资金截留、挤占、挪用、虚列支出等现象。</w:t>
      </w:r>
    </w:p>
    <w:p w14:paraId="043BA9B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2.组织实施方面</w:t>
      </w:r>
    </w:p>
    <w:p w14:paraId="591A380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（1）管理制度健全性方面。项目各相关单位有相关管理制度，但制度不够规范。</w:t>
      </w:r>
    </w:p>
    <w:p w14:paraId="7FE4BF3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（2）制度执行有效性方面。项目单位能遵守相关法律法规和相关管理规定，做好项目实施和财务管理工作。但在制度执行方面仍存在一些不足，一</w:t>
      </w:r>
      <w:r>
        <w:rPr>
          <w:rFonts w:hint="eastAsia" w:ascii="仿宋_GB2312" w:hAnsi="仿宋_GB2312" w:eastAsia="仿宋_GB2312" w:cs="仿宋_GB2312"/>
          <w:kern w:val="2"/>
          <w:sz w:val="32"/>
          <w:szCs w:val="32"/>
          <w:highlight w:val="none"/>
          <w:lang w:val="en-US" w:eastAsia="zh-CN" w:bidi="ar-SA"/>
        </w:rPr>
        <w:t>是项目相关管理不到位，</w:t>
      </w:r>
      <w:r>
        <w:rPr>
          <w:rFonts w:hint="eastAsia" w:ascii="仿宋_GB2312" w:hAnsi="仿宋_GB2312" w:eastAsia="仿宋_GB2312" w:cs="仿宋_GB2312"/>
          <w:sz w:val="32"/>
          <w:szCs w:val="32"/>
          <w:highlight w:val="none"/>
          <w:lang w:val="en-US" w:eastAsia="zh-CN"/>
        </w:rPr>
        <w:t>主要是制度检查、考核等记录资料不够完整。二是</w:t>
      </w:r>
      <w:r>
        <w:rPr>
          <w:rFonts w:hint="eastAsia" w:ascii="仿宋_GB2312" w:hAnsi="仿宋_GB2312" w:eastAsia="仿宋_GB2312" w:cs="仿宋_GB2312"/>
          <w:color w:val="auto"/>
          <w:sz w:val="32"/>
          <w:szCs w:val="32"/>
          <w:highlight w:val="none"/>
          <w:lang w:val="en-US" w:eastAsia="zh-CN"/>
        </w:rPr>
        <w:t>项目绩效管理工作不够到位，项目总结、自评等工作不够规范、不够详实。</w:t>
      </w:r>
    </w:p>
    <w:p w14:paraId="57E6E2E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评价组认为，项目过程从整体上看，项目资金管理规范，资金到位率高，资金使用合规，预算执行率高。但相关制度不够健全，制度执行不到位，项目总结、自评及信息采集工作不够规范等问题。</w:t>
      </w:r>
    </w:p>
    <w:p w14:paraId="391220A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（三）项目成本情况</w:t>
      </w:r>
    </w:p>
    <w:p w14:paraId="39B2816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b/>
          <w:bCs/>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项目成本从经济成本、社会成本、生态环境成本三个方面进行评价。项目成本满分13分，得分13分。具体得分详见表10。</w:t>
      </w:r>
    </w:p>
    <w:p w14:paraId="5F27AF3E">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表10  项目成本绩效指标分析表</w:t>
      </w:r>
    </w:p>
    <w:tbl>
      <w:tblPr>
        <w:tblStyle w:val="15"/>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803"/>
        <w:gridCol w:w="1596"/>
        <w:gridCol w:w="3182"/>
        <w:gridCol w:w="932"/>
        <w:gridCol w:w="972"/>
      </w:tblGrid>
      <w:tr w14:paraId="0AFC4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196" w:type="dxa"/>
            <w:tcBorders>
              <w:left w:val="nil"/>
              <w:tl2br w:val="nil"/>
              <w:tr2bl w:val="nil"/>
            </w:tcBorders>
            <w:shd w:val="clear" w:color="auto" w:fill="D7D7D7"/>
            <w:noWrap w:val="0"/>
            <w:vAlign w:val="center"/>
          </w:tcPr>
          <w:p w14:paraId="2D98C78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803" w:type="dxa"/>
            <w:tcBorders>
              <w:tl2br w:val="nil"/>
              <w:tr2bl w:val="nil"/>
            </w:tcBorders>
            <w:shd w:val="clear" w:color="auto" w:fill="D7D7D7"/>
            <w:noWrap w:val="0"/>
            <w:vAlign w:val="center"/>
          </w:tcPr>
          <w:p w14:paraId="62B00CC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596" w:type="dxa"/>
            <w:tcBorders>
              <w:tl2br w:val="nil"/>
              <w:tr2bl w:val="nil"/>
            </w:tcBorders>
            <w:shd w:val="clear" w:color="auto" w:fill="D7D7D7"/>
            <w:noWrap w:val="0"/>
            <w:vAlign w:val="center"/>
          </w:tcPr>
          <w:p w14:paraId="6AE0004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3182" w:type="dxa"/>
            <w:tcBorders>
              <w:tl2br w:val="nil"/>
              <w:tr2bl w:val="nil"/>
            </w:tcBorders>
            <w:shd w:val="clear" w:color="auto" w:fill="D7D7D7"/>
            <w:noWrap w:val="0"/>
            <w:vAlign w:val="center"/>
          </w:tcPr>
          <w:p w14:paraId="58F05AD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932" w:type="dxa"/>
            <w:tcBorders>
              <w:tl2br w:val="nil"/>
              <w:tr2bl w:val="nil"/>
            </w:tcBorders>
            <w:shd w:val="clear" w:color="auto" w:fill="D7D7D7"/>
            <w:noWrap w:val="0"/>
            <w:vAlign w:val="center"/>
          </w:tcPr>
          <w:p w14:paraId="4281EF9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972" w:type="dxa"/>
            <w:tcBorders>
              <w:right w:val="nil"/>
              <w:tl2br w:val="nil"/>
              <w:tr2bl w:val="nil"/>
            </w:tcBorders>
            <w:shd w:val="clear" w:color="auto" w:fill="D7D7D7"/>
            <w:noWrap w:val="0"/>
            <w:vAlign w:val="center"/>
          </w:tcPr>
          <w:p w14:paraId="07A058E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4774B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196" w:type="dxa"/>
            <w:vMerge w:val="restart"/>
            <w:tcBorders>
              <w:left w:val="nil"/>
              <w:tl2br w:val="nil"/>
              <w:tr2bl w:val="nil"/>
            </w:tcBorders>
            <w:noWrap w:val="0"/>
            <w:vAlign w:val="center"/>
          </w:tcPr>
          <w:p w14:paraId="12A4297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成本</w:t>
            </w:r>
          </w:p>
        </w:tc>
        <w:tc>
          <w:tcPr>
            <w:tcW w:w="803" w:type="dxa"/>
            <w:vMerge w:val="restart"/>
            <w:tcBorders>
              <w:tl2br w:val="nil"/>
              <w:tr2bl w:val="nil"/>
            </w:tcBorders>
            <w:noWrap w:val="0"/>
            <w:vAlign w:val="center"/>
          </w:tcPr>
          <w:p w14:paraId="41BBB66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13</w:t>
            </w:r>
          </w:p>
        </w:tc>
        <w:tc>
          <w:tcPr>
            <w:tcW w:w="1596" w:type="dxa"/>
            <w:tcBorders>
              <w:tl2br w:val="nil"/>
              <w:tr2bl w:val="nil"/>
            </w:tcBorders>
            <w:noWrap w:val="0"/>
            <w:vAlign w:val="center"/>
          </w:tcPr>
          <w:p w14:paraId="36B2552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经济成本</w:t>
            </w:r>
          </w:p>
        </w:tc>
        <w:tc>
          <w:tcPr>
            <w:tcW w:w="3182" w:type="dxa"/>
            <w:tcBorders>
              <w:tl2br w:val="nil"/>
              <w:tr2bl w:val="nil"/>
            </w:tcBorders>
            <w:noWrap w:val="0"/>
            <w:vAlign w:val="center"/>
          </w:tcPr>
          <w:p w14:paraId="4D11DE5A">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单位成本或分项成本节约率</w:t>
            </w:r>
          </w:p>
        </w:tc>
        <w:tc>
          <w:tcPr>
            <w:tcW w:w="932" w:type="dxa"/>
            <w:tcBorders>
              <w:tl2br w:val="nil"/>
              <w:tr2bl w:val="nil"/>
            </w:tcBorders>
            <w:noWrap w:val="0"/>
            <w:vAlign w:val="center"/>
          </w:tcPr>
          <w:p w14:paraId="15A7CDE5">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c>
          <w:tcPr>
            <w:tcW w:w="972" w:type="dxa"/>
            <w:tcBorders>
              <w:bottom w:val="single" w:color="000000" w:sz="4" w:space="0"/>
              <w:right w:val="nil"/>
              <w:tl2br w:val="nil"/>
              <w:tr2bl w:val="nil"/>
            </w:tcBorders>
            <w:noWrap w:val="0"/>
            <w:vAlign w:val="center"/>
          </w:tcPr>
          <w:p w14:paraId="63E7299D">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r>
      <w:tr w14:paraId="43259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96" w:type="dxa"/>
            <w:vMerge w:val="continue"/>
            <w:tcBorders>
              <w:left w:val="nil"/>
              <w:tl2br w:val="nil"/>
              <w:tr2bl w:val="nil"/>
            </w:tcBorders>
            <w:noWrap w:val="0"/>
            <w:vAlign w:val="center"/>
          </w:tcPr>
          <w:p w14:paraId="09F7ABF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03" w:type="dxa"/>
            <w:vMerge w:val="continue"/>
            <w:tcBorders>
              <w:tl2br w:val="nil"/>
              <w:tr2bl w:val="nil"/>
            </w:tcBorders>
            <w:noWrap w:val="0"/>
            <w:vAlign w:val="center"/>
          </w:tcPr>
          <w:p w14:paraId="2667B29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596" w:type="dxa"/>
            <w:tcBorders>
              <w:tl2br w:val="nil"/>
              <w:tr2bl w:val="nil"/>
            </w:tcBorders>
            <w:noWrap w:val="0"/>
            <w:vAlign w:val="center"/>
          </w:tcPr>
          <w:p w14:paraId="0392F8D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社会成本</w:t>
            </w:r>
          </w:p>
        </w:tc>
        <w:tc>
          <w:tcPr>
            <w:tcW w:w="3182" w:type="dxa"/>
            <w:tcBorders>
              <w:tl2br w:val="nil"/>
              <w:tr2bl w:val="nil"/>
            </w:tcBorders>
            <w:noWrap w:val="0"/>
            <w:vAlign w:val="center"/>
          </w:tcPr>
          <w:p w14:paraId="086F6B56">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公众支持和认可情况</w:t>
            </w:r>
          </w:p>
        </w:tc>
        <w:tc>
          <w:tcPr>
            <w:tcW w:w="932" w:type="dxa"/>
            <w:tcBorders>
              <w:tl2br w:val="nil"/>
              <w:tr2bl w:val="nil"/>
            </w:tcBorders>
            <w:noWrap w:val="0"/>
            <w:vAlign w:val="center"/>
          </w:tcPr>
          <w:p w14:paraId="0C9D5EC2">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972" w:type="dxa"/>
            <w:tcBorders>
              <w:top w:val="single" w:color="000000" w:sz="4" w:space="0"/>
              <w:bottom w:val="single" w:color="000000" w:sz="4" w:space="0"/>
              <w:right w:val="nil"/>
              <w:tl2br w:val="nil"/>
              <w:tr2bl w:val="nil"/>
            </w:tcBorders>
            <w:noWrap w:val="0"/>
            <w:vAlign w:val="center"/>
          </w:tcPr>
          <w:p w14:paraId="49332272">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r>
      <w:tr w14:paraId="5DB10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196" w:type="dxa"/>
            <w:vMerge w:val="continue"/>
            <w:tcBorders>
              <w:left w:val="nil"/>
              <w:tl2br w:val="nil"/>
              <w:tr2bl w:val="nil"/>
            </w:tcBorders>
            <w:noWrap w:val="0"/>
            <w:vAlign w:val="center"/>
          </w:tcPr>
          <w:p w14:paraId="3B42033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p>
        </w:tc>
        <w:tc>
          <w:tcPr>
            <w:tcW w:w="803" w:type="dxa"/>
            <w:vMerge w:val="continue"/>
            <w:tcBorders>
              <w:tl2br w:val="nil"/>
              <w:tr2bl w:val="nil"/>
            </w:tcBorders>
            <w:noWrap w:val="0"/>
            <w:vAlign w:val="center"/>
          </w:tcPr>
          <w:p w14:paraId="3FD89F9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p>
        </w:tc>
        <w:tc>
          <w:tcPr>
            <w:tcW w:w="1596" w:type="dxa"/>
            <w:tcBorders>
              <w:tl2br w:val="nil"/>
              <w:tr2bl w:val="nil"/>
            </w:tcBorders>
            <w:noWrap w:val="0"/>
            <w:vAlign w:val="center"/>
          </w:tcPr>
          <w:p w14:paraId="16DC29F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生态环境成本</w:t>
            </w:r>
          </w:p>
        </w:tc>
        <w:tc>
          <w:tcPr>
            <w:tcW w:w="3182" w:type="dxa"/>
            <w:tcBorders>
              <w:tl2br w:val="nil"/>
              <w:tr2bl w:val="nil"/>
            </w:tcBorders>
            <w:noWrap w:val="0"/>
            <w:vAlign w:val="center"/>
          </w:tcPr>
          <w:p w14:paraId="1C238E88">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自然生态环境负作用</w:t>
            </w:r>
          </w:p>
        </w:tc>
        <w:tc>
          <w:tcPr>
            <w:tcW w:w="932" w:type="dxa"/>
            <w:tcBorders>
              <w:tl2br w:val="nil"/>
              <w:tr2bl w:val="nil"/>
            </w:tcBorders>
            <w:noWrap w:val="0"/>
            <w:vAlign w:val="center"/>
          </w:tcPr>
          <w:p w14:paraId="422FC4DD">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972" w:type="dxa"/>
            <w:tcBorders>
              <w:top w:val="single" w:color="000000" w:sz="4" w:space="0"/>
              <w:right w:val="nil"/>
              <w:tl2br w:val="nil"/>
              <w:tr2bl w:val="nil"/>
            </w:tcBorders>
            <w:noWrap w:val="0"/>
            <w:vAlign w:val="center"/>
          </w:tcPr>
          <w:p w14:paraId="495FF4C9">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r>
      <w:tr w14:paraId="692E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4" w:hRule="atLeast"/>
        </w:trPr>
        <w:tc>
          <w:tcPr>
            <w:tcW w:w="1196" w:type="dxa"/>
            <w:tcBorders>
              <w:left w:val="nil"/>
              <w:tl2br w:val="nil"/>
              <w:tr2bl w:val="nil"/>
            </w:tcBorders>
            <w:noWrap w:val="0"/>
            <w:vAlign w:val="center"/>
          </w:tcPr>
          <w:p w14:paraId="2C72D60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803" w:type="dxa"/>
            <w:tcBorders>
              <w:tl2br w:val="nil"/>
              <w:tr2bl w:val="nil"/>
            </w:tcBorders>
            <w:noWrap w:val="0"/>
            <w:vAlign w:val="center"/>
          </w:tcPr>
          <w:p w14:paraId="03535DE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13</w:t>
            </w:r>
          </w:p>
        </w:tc>
        <w:tc>
          <w:tcPr>
            <w:tcW w:w="1596" w:type="dxa"/>
            <w:tcBorders>
              <w:tl2br w:val="nil"/>
              <w:tr2bl w:val="nil"/>
            </w:tcBorders>
            <w:noWrap w:val="0"/>
            <w:vAlign w:val="center"/>
          </w:tcPr>
          <w:p w14:paraId="2CCCCD9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3182" w:type="dxa"/>
            <w:tcBorders>
              <w:tl2br w:val="nil"/>
              <w:tr2bl w:val="nil"/>
            </w:tcBorders>
            <w:noWrap w:val="0"/>
            <w:vAlign w:val="center"/>
          </w:tcPr>
          <w:p w14:paraId="39ADB94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32" w:type="dxa"/>
            <w:tcBorders>
              <w:tl2br w:val="nil"/>
              <w:tr2bl w:val="nil"/>
            </w:tcBorders>
            <w:noWrap w:val="0"/>
            <w:vAlign w:val="center"/>
          </w:tcPr>
          <w:p w14:paraId="7DEF620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fldChar w:fldCharType="begin"/>
            </w:r>
            <w:r>
              <w:rPr>
                <w:rFonts w:hint="eastAsia" w:ascii="仿宋_GB2312" w:hAnsi="仿宋_GB2312" w:eastAsia="仿宋_GB2312" w:cs="仿宋_GB2312"/>
                <w:b/>
                <w:bCs/>
                <w:color w:val="auto"/>
                <w:sz w:val="24"/>
                <w:szCs w:val="24"/>
                <w:highlight w:val="none"/>
                <w:lang w:val="en-US" w:eastAsia="zh-CN"/>
              </w:rPr>
              <w:instrText xml:space="preserve"> = sum(E2:E5) \* MERGEFORMAT </w:instrText>
            </w:r>
            <w:r>
              <w:rPr>
                <w:rFonts w:hint="eastAsia" w:ascii="仿宋_GB2312" w:hAnsi="仿宋_GB2312" w:eastAsia="仿宋_GB2312" w:cs="仿宋_GB2312"/>
                <w:b/>
                <w:bCs/>
                <w:color w:val="auto"/>
                <w:sz w:val="24"/>
                <w:szCs w:val="24"/>
                <w:highlight w:val="none"/>
                <w:lang w:val="en-US" w:eastAsia="zh-CN"/>
              </w:rPr>
              <w:fldChar w:fldCharType="separate"/>
            </w:r>
            <w:r>
              <w:rPr>
                <w:rFonts w:hint="eastAsia" w:ascii="仿宋_GB2312" w:hAnsi="仿宋_GB2312" w:eastAsia="仿宋_GB2312" w:cs="仿宋_GB2312"/>
                <w:b/>
                <w:bCs/>
                <w:color w:val="auto"/>
                <w:sz w:val="24"/>
                <w:szCs w:val="24"/>
                <w:highlight w:val="none"/>
                <w:lang w:val="en-US" w:eastAsia="zh-CN"/>
              </w:rPr>
              <w:t>13</w:t>
            </w:r>
            <w:r>
              <w:rPr>
                <w:rFonts w:hint="eastAsia" w:ascii="仿宋_GB2312" w:hAnsi="仿宋_GB2312" w:eastAsia="仿宋_GB2312" w:cs="仿宋_GB2312"/>
                <w:b/>
                <w:bCs/>
                <w:color w:val="auto"/>
                <w:sz w:val="24"/>
                <w:szCs w:val="24"/>
                <w:highlight w:val="none"/>
                <w:lang w:val="en-US" w:eastAsia="zh-CN"/>
              </w:rPr>
              <w:fldChar w:fldCharType="end"/>
            </w:r>
          </w:p>
        </w:tc>
        <w:tc>
          <w:tcPr>
            <w:tcW w:w="972" w:type="dxa"/>
            <w:tcBorders>
              <w:right w:val="nil"/>
              <w:tl2br w:val="nil"/>
              <w:tr2bl w:val="nil"/>
            </w:tcBorders>
            <w:noWrap w:val="0"/>
            <w:vAlign w:val="center"/>
          </w:tcPr>
          <w:p w14:paraId="7EC221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13</w:t>
            </w:r>
          </w:p>
        </w:tc>
      </w:tr>
    </w:tbl>
    <w:p w14:paraId="7F42091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1.经济成本方面。项目建设成本控制较好，项目需要资金</w:t>
      </w:r>
      <w:r>
        <w:rPr>
          <w:rFonts w:hint="eastAsia" w:ascii="仿宋_GB2312" w:hAnsi="仿宋_GB2312" w:eastAsia="仿宋_GB2312" w:cs="仿宋_GB2312"/>
          <w:color w:val="auto"/>
          <w:kern w:val="2"/>
          <w:sz w:val="32"/>
          <w:szCs w:val="32"/>
          <w:highlight w:val="none"/>
          <w:lang w:val="en-US" w:eastAsia="zh-CN" w:bidi="ar-SA"/>
        </w:rPr>
        <w:t>（工程建设及其他费用总额为）659.14万元</w:t>
      </w:r>
      <w:r>
        <w:rPr>
          <w:rFonts w:hint="eastAsia" w:ascii="仿宋_GB2312" w:hAnsi="仿宋_GB2312" w:eastAsia="仿宋_GB2312" w:cs="仿宋_GB2312"/>
          <w:color w:val="auto"/>
          <w:sz w:val="32"/>
          <w:szCs w:val="32"/>
          <w:highlight w:val="none"/>
          <w:lang w:val="en-US" w:eastAsia="zh-CN"/>
        </w:rPr>
        <w:t>，未超过项目前期估算资金（716.00万元），节约56.86万元，成本节约率约为7.94%，按照评分标准规定得满分。</w:t>
      </w:r>
    </w:p>
    <w:p w14:paraId="70C7760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2.社会成本方面。项目实施深受社会各方面的认可和支持。因此，项目无社会成本方面负面影响。</w:t>
      </w:r>
    </w:p>
    <w:p w14:paraId="034603F0">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3.生态成本方面。项目</w:t>
      </w:r>
      <w:r>
        <w:rPr>
          <w:rFonts w:hint="eastAsia" w:ascii="仿宋_GB2312" w:hAnsi="仿宋_GB2312" w:eastAsia="仿宋_GB2312" w:cs="仿宋_GB2312"/>
          <w:color w:val="auto"/>
          <w:kern w:val="2"/>
          <w:sz w:val="32"/>
          <w:szCs w:val="32"/>
          <w:highlight w:val="none"/>
          <w:lang w:val="en-US" w:eastAsia="zh-CN" w:bidi="ar-SA"/>
        </w:rPr>
        <w:t>无生态环境方面的负面影响。</w:t>
      </w:r>
    </w:p>
    <w:p w14:paraId="7B71AF3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评价组认为，项目经济成本、</w:t>
      </w:r>
      <w:r>
        <w:rPr>
          <w:rFonts w:hint="eastAsia" w:ascii="仿宋_GB2312" w:hAnsi="仿宋_GB2312" w:eastAsia="仿宋_GB2312" w:cs="仿宋_GB2312"/>
          <w:color w:val="auto"/>
          <w:kern w:val="2"/>
          <w:sz w:val="32"/>
          <w:szCs w:val="32"/>
          <w:highlight w:val="none"/>
          <w:lang w:val="en-US" w:eastAsia="zh-CN" w:bidi="ar-SA"/>
        </w:rPr>
        <w:t>社会成本和</w:t>
      </w:r>
      <w:r>
        <w:rPr>
          <w:rFonts w:hint="eastAsia" w:ascii="仿宋_GB2312" w:hAnsi="仿宋_GB2312" w:eastAsia="仿宋_GB2312" w:cs="仿宋_GB2312"/>
          <w:color w:val="auto"/>
          <w:sz w:val="32"/>
          <w:szCs w:val="32"/>
          <w:highlight w:val="none"/>
          <w:lang w:val="en-US" w:eastAsia="zh-CN"/>
        </w:rPr>
        <w:t>生态环境成本方面总体较好，无负面影响。</w:t>
      </w:r>
    </w:p>
    <w:p w14:paraId="629BABCA">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（四）项目产出情况</w:t>
      </w:r>
    </w:p>
    <w:p w14:paraId="6E9DE8C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项目产出从产出数量、产出质量、产出时效三个方面进行评价。项目产出满分25分，得分22.5分。具体得分详见表11。</w:t>
      </w:r>
    </w:p>
    <w:p w14:paraId="1ECD0A5B">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表11   项目产出绩效指标分析表</w:t>
      </w:r>
    </w:p>
    <w:tbl>
      <w:tblPr>
        <w:tblStyle w:val="15"/>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811"/>
        <w:gridCol w:w="1677"/>
        <w:gridCol w:w="2785"/>
        <w:gridCol w:w="967"/>
        <w:gridCol w:w="1183"/>
      </w:tblGrid>
      <w:tr w14:paraId="6A790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258" w:type="dxa"/>
            <w:tcBorders>
              <w:left w:val="nil"/>
              <w:tl2br w:val="nil"/>
              <w:tr2bl w:val="nil"/>
            </w:tcBorders>
            <w:shd w:val="clear" w:color="auto" w:fill="D7D7D7"/>
            <w:noWrap w:val="0"/>
            <w:vAlign w:val="center"/>
          </w:tcPr>
          <w:p w14:paraId="00EB399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811" w:type="dxa"/>
            <w:tcBorders>
              <w:tl2br w:val="nil"/>
              <w:tr2bl w:val="nil"/>
            </w:tcBorders>
            <w:shd w:val="clear" w:color="auto" w:fill="D7D7D7"/>
            <w:noWrap w:val="0"/>
            <w:vAlign w:val="center"/>
          </w:tcPr>
          <w:p w14:paraId="4E8F82D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677" w:type="dxa"/>
            <w:tcBorders>
              <w:tl2br w:val="nil"/>
              <w:tr2bl w:val="nil"/>
            </w:tcBorders>
            <w:shd w:val="clear" w:color="auto" w:fill="D7D7D7"/>
            <w:noWrap w:val="0"/>
            <w:vAlign w:val="center"/>
          </w:tcPr>
          <w:p w14:paraId="10DD68F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2785" w:type="dxa"/>
            <w:tcBorders>
              <w:tl2br w:val="nil"/>
              <w:tr2bl w:val="nil"/>
            </w:tcBorders>
            <w:shd w:val="clear" w:color="auto" w:fill="D7D7D7"/>
            <w:noWrap w:val="0"/>
            <w:vAlign w:val="center"/>
          </w:tcPr>
          <w:p w14:paraId="7EBD212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67" w:type="dxa"/>
            <w:tcBorders>
              <w:tl2br w:val="nil"/>
              <w:tr2bl w:val="nil"/>
            </w:tcBorders>
            <w:shd w:val="clear" w:color="auto" w:fill="D7D7D7"/>
            <w:noWrap w:val="0"/>
            <w:vAlign w:val="center"/>
          </w:tcPr>
          <w:p w14:paraId="68CCE7F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6680196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02F0D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58" w:type="dxa"/>
            <w:vMerge w:val="restart"/>
            <w:tcBorders>
              <w:left w:val="nil"/>
              <w:tl2br w:val="nil"/>
              <w:tr2bl w:val="nil"/>
            </w:tcBorders>
            <w:noWrap w:val="0"/>
            <w:vAlign w:val="center"/>
          </w:tcPr>
          <w:p w14:paraId="78DEFA3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产出</w:t>
            </w:r>
          </w:p>
        </w:tc>
        <w:tc>
          <w:tcPr>
            <w:tcW w:w="811" w:type="dxa"/>
            <w:vMerge w:val="restart"/>
            <w:tcBorders>
              <w:tl2br w:val="nil"/>
              <w:tr2bl w:val="nil"/>
            </w:tcBorders>
            <w:noWrap w:val="0"/>
            <w:vAlign w:val="center"/>
          </w:tcPr>
          <w:p w14:paraId="29B9DF3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25</w:t>
            </w:r>
          </w:p>
        </w:tc>
        <w:tc>
          <w:tcPr>
            <w:tcW w:w="1677" w:type="dxa"/>
            <w:tcBorders>
              <w:tl2br w:val="nil"/>
              <w:tr2bl w:val="nil"/>
            </w:tcBorders>
            <w:noWrap w:val="0"/>
            <w:vAlign w:val="center"/>
          </w:tcPr>
          <w:p w14:paraId="6505F60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产出数量</w:t>
            </w:r>
          </w:p>
        </w:tc>
        <w:tc>
          <w:tcPr>
            <w:tcW w:w="2785" w:type="dxa"/>
            <w:tcBorders>
              <w:tl2br w:val="nil"/>
              <w:tr2bl w:val="nil"/>
            </w:tcBorders>
            <w:noWrap w:val="0"/>
            <w:vAlign w:val="center"/>
          </w:tcPr>
          <w:p w14:paraId="12635D9D">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项目数量目标完成情况</w:t>
            </w:r>
          </w:p>
        </w:tc>
        <w:tc>
          <w:tcPr>
            <w:tcW w:w="967" w:type="dxa"/>
            <w:tcBorders>
              <w:tl2br w:val="nil"/>
              <w:tr2bl w:val="nil"/>
            </w:tcBorders>
            <w:noWrap w:val="0"/>
            <w:vAlign w:val="center"/>
          </w:tcPr>
          <w:p w14:paraId="042A2F07">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10</w:t>
            </w:r>
          </w:p>
        </w:tc>
        <w:tc>
          <w:tcPr>
            <w:tcW w:w="1183" w:type="dxa"/>
            <w:tcBorders>
              <w:right w:val="nil"/>
              <w:tl2br w:val="nil"/>
              <w:tr2bl w:val="nil"/>
            </w:tcBorders>
            <w:noWrap w:val="0"/>
            <w:vAlign w:val="center"/>
          </w:tcPr>
          <w:p w14:paraId="3D0F0646">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w:t>
            </w:r>
          </w:p>
        </w:tc>
      </w:tr>
      <w:tr w14:paraId="2319A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258" w:type="dxa"/>
            <w:vMerge w:val="continue"/>
            <w:tcBorders>
              <w:left w:val="nil"/>
              <w:tl2br w:val="nil"/>
              <w:tr2bl w:val="nil"/>
            </w:tcBorders>
            <w:noWrap w:val="0"/>
            <w:vAlign w:val="center"/>
          </w:tcPr>
          <w:p w14:paraId="3225723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11" w:type="dxa"/>
            <w:vMerge w:val="continue"/>
            <w:tcBorders>
              <w:tl2br w:val="nil"/>
              <w:tr2bl w:val="nil"/>
            </w:tcBorders>
            <w:noWrap w:val="0"/>
            <w:vAlign w:val="center"/>
          </w:tcPr>
          <w:p w14:paraId="343AC5D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77" w:type="dxa"/>
            <w:tcBorders>
              <w:tl2br w:val="nil"/>
              <w:tr2bl w:val="nil"/>
            </w:tcBorders>
            <w:noWrap w:val="0"/>
            <w:vAlign w:val="center"/>
          </w:tcPr>
          <w:p w14:paraId="7EECFA5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产出质量</w:t>
            </w:r>
          </w:p>
        </w:tc>
        <w:tc>
          <w:tcPr>
            <w:tcW w:w="2785" w:type="dxa"/>
            <w:tcBorders>
              <w:tl2br w:val="nil"/>
              <w:tr2bl w:val="nil"/>
            </w:tcBorders>
            <w:noWrap w:val="0"/>
            <w:vAlign w:val="center"/>
          </w:tcPr>
          <w:p w14:paraId="041381AF">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项目质量目标完成情况</w:t>
            </w:r>
          </w:p>
        </w:tc>
        <w:tc>
          <w:tcPr>
            <w:tcW w:w="967" w:type="dxa"/>
            <w:tcBorders>
              <w:tl2br w:val="nil"/>
              <w:tr2bl w:val="nil"/>
            </w:tcBorders>
            <w:noWrap w:val="0"/>
            <w:vAlign w:val="center"/>
          </w:tcPr>
          <w:p w14:paraId="2F89D581">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10</w:t>
            </w:r>
          </w:p>
        </w:tc>
        <w:tc>
          <w:tcPr>
            <w:tcW w:w="1183" w:type="dxa"/>
            <w:tcBorders>
              <w:right w:val="nil"/>
              <w:tl2br w:val="nil"/>
              <w:tr2bl w:val="nil"/>
            </w:tcBorders>
            <w:noWrap w:val="0"/>
            <w:vAlign w:val="center"/>
          </w:tcPr>
          <w:p w14:paraId="67A056D0">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w:t>
            </w:r>
          </w:p>
        </w:tc>
      </w:tr>
      <w:tr w14:paraId="0A90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8" w:type="dxa"/>
            <w:vMerge w:val="continue"/>
            <w:tcBorders>
              <w:left w:val="nil"/>
              <w:tl2br w:val="nil"/>
              <w:tr2bl w:val="nil"/>
            </w:tcBorders>
            <w:noWrap w:val="0"/>
            <w:vAlign w:val="center"/>
          </w:tcPr>
          <w:p w14:paraId="3185C0C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11" w:type="dxa"/>
            <w:vMerge w:val="continue"/>
            <w:tcBorders>
              <w:tl2br w:val="nil"/>
              <w:tr2bl w:val="nil"/>
            </w:tcBorders>
            <w:noWrap w:val="0"/>
            <w:vAlign w:val="center"/>
          </w:tcPr>
          <w:p w14:paraId="7FB0848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77" w:type="dxa"/>
            <w:tcBorders>
              <w:tl2br w:val="nil"/>
              <w:tr2bl w:val="nil"/>
            </w:tcBorders>
            <w:noWrap w:val="0"/>
            <w:vAlign w:val="center"/>
          </w:tcPr>
          <w:p w14:paraId="68C0CFD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产出时效</w:t>
            </w:r>
          </w:p>
        </w:tc>
        <w:tc>
          <w:tcPr>
            <w:tcW w:w="2785" w:type="dxa"/>
            <w:tcBorders>
              <w:tl2br w:val="nil"/>
              <w:tr2bl w:val="nil"/>
            </w:tcBorders>
            <w:noWrap w:val="0"/>
            <w:vAlign w:val="center"/>
          </w:tcPr>
          <w:p w14:paraId="78880ECF">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项目按期完成情况</w:t>
            </w:r>
          </w:p>
        </w:tc>
        <w:tc>
          <w:tcPr>
            <w:tcW w:w="967" w:type="dxa"/>
            <w:tcBorders>
              <w:tl2br w:val="nil"/>
              <w:tr2bl w:val="nil"/>
            </w:tcBorders>
            <w:noWrap w:val="0"/>
            <w:vAlign w:val="center"/>
          </w:tcPr>
          <w:p w14:paraId="018D7419">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c>
          <w:tcPr>
            <w:tcW w:w="1183" w:type="dxa"/>
            <w:tcBorders>
              <w:right w:val="nil"/>
              <w:tl2br w:val="nil"/>
              <w:tr2bl w:val="nil"/>
            </w:tcBorders>
            <w:noWrap w:val="0"/>
            <w:vAlign w:val="center"/>
          </w:tcPr>
          <w:p w14:paraId="223A0CF1">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4.5</w:t>
            </w:r>
          </w:p>
        </w:tc>
      </w:tr>
      <w:tr w14:paraId="67BBD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4" w:hRule="atLeast"/>
        </w:trPr>
        <w:tc>
          <w:tcPr>
            <w:tcW w:w="1258" w:type="dxa"/>
            <w:tcBorders>
              <w:left w:val="nil"/>
              <w:tl2br w:val="nil"/>
              <w:tr2bl w:val="nil"/>
            </w:tcBorders>
            <w:noWrap w:val="0"/>
            <w:vAlign w:val="center"/>
          </w:tcPr>
          <w:p w14:paraId="55910D8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811" w:type="dxa"/>
            <w:tcBorders>
              <w:tl2br w:val="nil"/>
              <w:tr2bl w:val="nil"/>
            </w:tcBorders>
            <w:noWrap w:val="0"/>
            <w:vAlign w:val="center"/>
          </w:tcPr>
          <w:p w14:paraId="68254D7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677" w:type="dxa"/>
            <w:tcBorders>
              <w:tl2br w:val="nil"/>
              <w:tr2bl w:val="nil"/>
            </w:tcBorders>
            <w:noWrap w:val="0"/>
            <w:vAlign w:val="center"/>
          </w:tcPr>
          <w:p w14:paraId="095E273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2785" w:type="dxa"/>
            <w:tcBorders>
              <w:tl2br w:val="nil"/>
              <w:tr2bl w:val="nil"/>
            </w:tcBorders>
            <w:noWrap w:val="0"/>
            <w:vAlign w:val="center"/>
          </w:tcPr>
          <w:p w14:paraId="564EFEA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67" w:type="dxa"/>
            <w:tcBorders>
              <w:tl2br w:val="nil"/>
              <w:tr2bl w:val="nil"/>
            </w:tcBorders>
            <w:noWrap w:val="0"/>
            <w:vAlign w:val="center"/>
          </w:tcPr>
          <w:p w14:paraId="1379F2D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183" w:type="dxa"/>
            <w:tcBorders>
              <w:right w:val="nil"/>
              <w:tl2br w:val="nil"/>
              <w:tr2bl w:val="nil"/>
            </w:tcBorders>
            <w:noWrap w:val="0"/>
            <w:vAlign w:val="center"/>
          </w:tcPr>
          <w:p w14:paraId="1FA7AA9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22.5</w:t>
            </w:r>
          </w:p>
        </w:tc>
      </w:tr>
    </w:tbl>
    <w:p w14:paraId="5EE5992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1.产出数量方面。从项目单位提供的相关资料及现场检查情况看，项目已基本完工，但因项目包含地下隐蔽工程，且未进行竣工验收，数量存在不确定性。</w:t>
      </w:r>
    </w:p>
    <w:p w14:paraId="0E881EC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2.产出质量方面。从项目单位提供的相关资料、现场查看及调查问卷等方面情况看，项目建设工程质量较好，但因项目包含地下隐蔽工程，且未进行竣工验收，质量存在不确定性。</w:t>
      </w:r>
    </w:p>
    <w:p w14:paraId="6A87876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3.产出时效方面。从项目单位提供的相关资料显示，项目未能在计划期内完工，同时验收、审计工作进度缓慢。</w:t>
      </w:r>
    </w:p>
    <w:p w14:paraId="3EC68E4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评价组认为，从项目产出方面看，项目产出数量、质量较好，但产出时效仍存在一些不足。</w:t>
      </w:r>
    </w:p>
    <w:p w14:paraId="6E827E52">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（五）项目效益情况</w:t>
      </w:r>
    </w:p>
    <w:p w14:paraId="260E600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b/>
          <w:bCs/>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从经济效益、社会效益、生态效益、可持续影响、受表彰情况、满意度六个方面进行评价。项目效益满分为35分，得分为30.52分。具体得分详见表12。</w:t>
      </w:r>
    </w:p>
    <w:p w14:paraId="3BB46E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6" w:firstLineChars="200"/>
        <w:jc w:val="center"/>
        <w:textAlignment w:val="auto"/>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表12   项目效益绩效指标分析表</w:t>
      </w:r>
    </w:p>
    <w:tbl>
      <w:tblPr>
        <w:tblStyle w:val="15"/>
        <w:tblpPr w:leftFromText="181" w:rightFromText="181" w:vertAnchor="text" w:horzAnchor="page" w:tblpX="1946" w:tblpY="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8"/>
        <w:gridCol w:w="587"/>
        <w:gridCol w:w="1444"/>
        <w:gridCol w:w="4082"/>
        <w:gridCol w:w="675"/>
        <w:gridCol w:w="868"/>
      </w:tblGrid>
      <w:tr w14:paraId="1ED24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7" w:hRule="exact"/>
          <w:tblHeader/>
        </w:trPr>
        <w:tc>
          <w:tcPr>
            <w:tcW w:w="848" w:type="dxa"/>
            <w:tcBorders>
              <w:top w:val="single" w:color="000000" w:sz="4" w:space="0"/>
              <w:bottom w:val="single" w:color="000000" w:sz="4" w:space="0"/>
              <w:right w:val="single" w:color="000000" w:sz="4" w:space="0"/>
            </w:tcBorders>
            <w:shd w:val="clear" w:color="auto" w:fill="D7D7D7" w:themeFill="background1" w:themeFillShade="D8"/>
            <w:noWrap w:val="0"/>
            <w:vAlign w:val="center"/>
          </w:tcPr>
          <w:p w14:paraId="6622CB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一级</w:t>
            </w:r>
          </w:p>
          <w:p w14:paraId="65CFCA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指标</w:t>
            </w:r>
          </w:p>
        </w:tc>
        <w:tc>
          <w:tcPr>
            <w:tcW w:w="58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6C30F3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分值</w:t>
            </w:r>
          </w:p>
        </w:tc>
        <w:tc>
          <w:tcPr>
            <w:tcW w:w="1444"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2F7CF6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二级指标</w:t>
            </w:r>
          </w:p>
        </w:tc>
        <w:tc>
          <w:tcPr>
            <w:tcW w:w="4082"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142B6A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三级指标</w:t>
            </w:r>
          </w:p>
        </w:tc>
        <w:tc>
          <w:tcPr>
            <w:tcW w:w="675" w:type="dxa"/>
            <w:tcBorders>
              <w:top w:val="single" w:color="000000" w:sz="4" w:space="0"/>
              <w:left w:val="single" w:color="000000" w:sz="4" w:space="0"/>
              <w:bottom w:val="single" w:color="000000" w:sz="4" w:space="0"/>
              <w:right w:val="single" w:color="auto" w:sz="4" w:space="0"/>
            </w:tcBorders>
            <w:shd w:val="clear" w:color="auto" w:fill="D7D7D7" w:themeFill="background1" w:themeFillShade="D8"/>
            <w:noWrap w:val="0"/>
            <w:vAlign w:val="center"/>
          </w:tcPr>
          <w:p w14:paraId="47ECD5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分值</w:t>
            </w:r>
          </w:p>
        </w:tc>
        <w:tc>
          <w:tcPr>
            <w:tcW w:w="868" w:type="dxa"/>
            <w:tcBorders>
              <w:top w:val="single" w:color="000000" w:sz="4" w:space="0"/>
              <w:left w:val="single" w:color="000000" w:sz="4" w:space="0"/>
              <w:bottom w:val="single" w:color="000000" w:sz="4" w:space="0"/>
            </w:tcBorders>
            <w:shd w:val="clear" w:color="auto" w:fill="D7D7D7" w:themeFill="background1" w:themeFillShade="D8"/>
            <w:noWrap w:val="0"/>
            <w:vAlign w:val="center"/>
          </w:tcPr>
          <w:p w14:paraId="30E4C5D8">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color w:val="auto"/>
                <w:sz w:val="24"/>
                <w:szCs w:val="24"/>
                <w:highlight w:val="none"/>
                <w:lang w:val="en-US" w:eastAsia="zh-CN"/>
              </w:rPr>
              <w:t>得分</w:t>
            </w:r>
          </w:p>
        </w:tc>
      </w:tr>
      <w:tr w14:paraId="457CA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6" w:hRule="exact"/>
        </w:trPr>
        <w:tc>
          <w:tcPr>
            <w:tcW w:w="848" w:type="dxa"/>
            <w:vMerge w:val="restart"/>
            <w:tcBorders>
              <w:top w:val="single" w:color="000000" w:sz="4" w:space="0"/>
              <w:bottom w:val="single" w:color="000000" w:sz="4" w:space="0"/>
              <w:right w:val="single" w:color="000000" w:sz="4" w:space="0"/>
            </w:tcBorders>
            <w:shd w:val="clear" w:color="auto" w:fill="auto"/>
            <w:noWrap w:val="0"/>
            <w:vAlign w:val="center"/>
          </w:tcPr>
          <w:p w14:paraId="7B35C54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 xml:space="preserve">效益     </w:t>
            </w:r>
          </w:p>
        </w:tc>
        <w:tc>
          <w:tcPr>
            <w:tcW w:w="587"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0C112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35</w:t>
            </w: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1D5D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经济效益</w:t>
            </w: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7E5F4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促进区域经济发展作用情况</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D508B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color w:val="auto"/>
                <w:sz w:val="24"/>
                <w:szCs w:val="24"/>
                <w:highlight w:val="none"/>
                <w:lang w:val="en-US" w:eastAsia="zh-CN"/>
              </w:rPr>
              <w:t>5</w:t>
            </w:r>
          </w:p>
        </w:tc>
        <w:tc>
          <w:tcPr>
            <w:tcW w:w="868" w:type="dxa"/>
            <w:tcBorders>
              <w:top w:val="single" w:color="000000" w:sz="4" w:space="0"/>
              <w:left w:val="single" w:color="000000" w:sz="4" w:space="0"/>
              <w:bottom w:val="single" w:color="000000" w:sz="4" w:space="0"/>
            </w:tcBorders>
            <w:shd w:val="clear" w:color="auto" w:fill="auto"/>
            <w:noWrap w:val="0"/>
            <w:vAlign w:val="center"/>
          </w:tcPr>
          <w:p w14:paraId="47886B8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5</w:t>
            </w:r>
          </w:p>
        </w:tc>
      </w:tr>
      <w:tr w14:paraId="34C64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139C89F1">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459FCC">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73ED3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社会效益</w:t>
            </w: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EFF525">
            <w:pPr>
              <w:keepNext w:val="0"/>
              <w:keepLines w:val="0"/>
              <w:widowControl/>
              <w:suppressLineNumbers w:val="0"/>
              <w:jc w:val="center"/>
              <w:textAlignment w:val="center"/>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改善群众生产生活条件</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3002C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868" w:type="dxa"/>
            <w:tcBorders>
              <w:top w:val="single" w:color="000000" w:sz="4" w:space="0"/>
              <w:left w:val="single" w:color="000000" w:sz="4" w:space="0"/>
              <w:bottom w:val="single" w:color="000000" w:sz="4" w:space="0"/>
            </w:tcBorders>
            <w:shd w:val="clear" w:color="auto" w:fill="auto"/>
            <w:noWrap/>
            <w:vAlign w:val="center"/>
          </w:tcPr>
          <w:p w14:paraId="5CD95393">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r>
      <w:tr w14:paraId="3C0F1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4"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319211A9">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8F003D">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91B3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60A920">
            <w:pPr>
              <w:keepNext w:val="0"/>
              <w:keepLines w:val="0"/>
              <w:widowControl/>
              <w:suppressLineNumbers w:val="0"/>
              <w:jc w:val="center"/>
              <w:textAlignment w:val="center"/>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改善乡镇基础设施条件，促进交通畅通效果情况</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95244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868" w:type="dxa"/>
            <w:tcBorders>
              <w:top w:val="single" w:color="000000" w:sz="4" w:space="0"/>
              <w:left w:val="single" w:color="000000" w:sz="4" w:space="0"/>
              <w:bottom w:val="single" w:color="000000" w:sz="4" w:space="0"/>
            </w:tcBorders>
            <w:shd w:val="clear" w:color="auto" w:fill="auto"/>
            <w:noWrap/>
            <w:vAlign w:val="center"/>
          </w:tcPr>
          <w:p w14:paraId="76DF756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r>
      <w:tr w14:paraId="5B550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7C2364BF">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092D84">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B99A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FE051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改善当地的投资环境作用情况</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353B9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868" w:type="dxa"/>
            <w:tcBorders>
              <w:top w:val="single" w:color="000000" w:sz="4" w:space="0"/>
              <w:left w:val="single" w:color="000000" w:sz="4" w:space="0"/>
              <w:bottom w:val="single" w:color="000000" w:sz="4" w:space="0"/>
            </w:tcBorders>
            <w:shd w:val="clear" w:color="auto" w:fill="auto"/>
            <w:noWrap/>
            <w:vAlign w:val="center"/>
          </w:tcPr>
          <w:p w14:paraId="4C711F4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r>
      <w:tr w14:paraId="28F96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32B06A9C">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8D9BF5">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74BC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生态效益</w:t>
            </w: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04CE07">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生态环境方面的作用情况</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11C35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color w:val="auto"/>
                <w:sz w:val="24"/>
                <w:szCs w:val="24"/>
                <w:highlight w:val="none"/>
                <w:lang w:val="en-US" w:eastAsia="zh-CN"/>
              </w:rPr>
              <w:t>4</w:t>
            </w:r>
          </w:p>
        </w:tc>
        <w:tc>
          <w:tcPr>
            <w:tcW w:w="868" w:type="dxa"/>
            <w:tcBorders>
              <w:top w:val="single" w:color="000000" w:sz="4" w:space="0"/>
              <w:left w:val="single" w:color="000000" w:sz="4" w:space="0"/>
              <w:bottom w:val="single" w:color="000000" w:sz="4" w:space="0"/>
            </w:tcBorders>
            <w:shd w:val="clear" w:color="auto" w:fill="auto"/>
            <w:noWrap/>
            <w:vAlign w:val="center"/>
          </w:tcPr>
          <w:p w14:paraId="23B0BC63">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31683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3"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2D466953">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5BCD54">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53F59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可持续影响</w:t>
            </w: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D5057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项目长效运管及可持续发展情况</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BC126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color w:val="auto"/>
                <w:sz w:val="24"/>
                <w:szCs w:val="24"/>
                <w:highlight w:val="none"/>
                <w:lang w:val="en-US" w:eastAsia="zh-CN"/>
              </w:rPr>
              <w:t>4</w:t>
            </w:r>
          </w:p>
        </w:tc>
        <w:tc>
          <w:tcPr>
            <w:tcW w:w="868" w:type="dxa"/>
            <w:tcBorders>
              <w:top w:val="single" w:color="000000" w:sz="4" w:space="0"/>
              <w:left w:val="single" w:color="000000" w:sz="4" w:space="0"/>
              <w:bottom w:val="single" w:color="000000" w:sz="4" w:space="0"/>
            </w:tcBorders>
            <w:shd w:val="clear" w:color="auto" w:fill="auto"/>
            <w:noWrap/>
            <w:vAlign w:val="center"/>
          </w:tcPr>
          <w:p w14:paraId="5AF875F3">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r>
      <w:tr w14:paraId="0AA01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641E06F3">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3C5983">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EC07BD">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lang w:val="en-US" w:eastAsia="zh-CN"/>
              </w:rPr>
            </w:pPr>
            <w:r>
              <w:rPr>
                <w:rFonts w:hint="eastAsia" w:ascii="仿宋_GB2312" w:hAnsi="仿宋_GB2312" w:eastAsia="仿宋_GB2312" w:cs="仿宋_GB2312"/>
                <w:b w:val="0"/>
                <w:bCs w:val="0"/>
                <w:i w:val="0"/>
                <w:iCs w:val="0"/>
                <w:color w:val="auto"/>
                <w:sz w:val="24"/>
                <w:szCs w:val="24"/>
                <w:highlight w:val="none"/>
                <w:u w:val="none"/>
                <w:lang w:val="en-US" w:eastAsia="zh-CN"/>
              </w:rPr>
              <w:t>受表彰情况</w:t>
            </w: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5FC3FE">
            <w:pPr>
              <w:keepNext w:val="0"/>
              <w:keepLines w:val="0"/>
              <w:widowControl/>
              <w:suppressLineNumbers w:val="0"/>
              <w:jc w:val="center"/>
              <w:textAlignment w:val="center"/>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相关工作是否受到市级以上表彰奖励</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4D60E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color w:val="auto"/>
                <w:sz w:val="24"/>
                <w:szCs w:val="24"/>
                <w:highlight w:val="none"/>
                <w:lang w:val="en-US" w:eastAsia="zh-CN"/>
              </w:rPr>
              <w:t>3</w:t>
            </w:r>
          </w:p>
        </w:tc>
        <w:tc>
          <w:tcPr>
            <w:tcW w:w="868" w:type="dxa"/>
            <w:tcBorders>
              <w:top w:val="single" w:color="000000" w:sz="4" w:space="0"/>
              <w:left w:val="single" w:color="000000" w:sz="4" w:space="0"/>
              <w:bottom w:val="single" w:color="000000" w:sz="4" w:space="0"/>
            </w:tcBorders>
            <w:shd w:val="clear" w:color="auto" w:fill="auto"/>
            <w:noWrap/>
            <w:vAlign w:val="center"/>
          </w:tcPr>
          <w:p w14:paraId="751FB8B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0</w:t>
            </w:r>
          </w:p>
        </w:tc>
      </w:tr>
      <w:tr w14:paraId="6E361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16B15C49">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FCC1A0">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8305E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满意度</w:t>
            </w: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171B0B">
            <w:pPr>
              <w:keepNext w:val="0"/>
              <w:keepLines w:val="0"/>
              <w:widowControl/>
              <w:suppressLineNumbers w:val="0"/>
              <w:jc w:val="center"/>
              <w:textAlignment w:val="center"/>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服务对象满意程度</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90243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color w:val="auto"/>
                <w:sz w:val="24"/>
                <w:szCs w:val="24"/>
                <w:highlight w:val="none"/>
                <w:lang w:val="en-US" w:eastAsia="zh-CN"/>
              </w:rPr>
              <w:t>10</w:t>
            </w:r>
          </w:p>
        </w:tc>
        <w:tc>
          <w:tcPr>
            <w:tcW w:w="868" w:type="dxa"/>
            <w:tcBorders>
              <w:top w:val="single" w:color="000000" w:sz="4" w:space="0"/>
              <w:left w:val="single" w:color="000000" w:sz="4" w:space="0"/>
              <w:bottom w:val="single" w:color="000000" w:sz="4" w:space="0"/>
            </w:tcBorders>
            <w:shd w:val="clear" w:color="auto" w:fill="auto"/>
            <w:noWrap/>
            <w:vAlign w:val="center"/>
          </w:tcPr>
          <w:p w14:paraId="6F4A404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9.52</w:t>
            </w:r>
          </w:p>
        </w:tc>
      </w:tr>
      <w:tr w14:paraId="6058D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exact"/>
        </w:trPr>
        <w:tc>
          <w:tcPr>
            <w:tcW w:w="848" w:type="dxa"/>
            <w:tcBorders>
              <w:top w:val="single" w:color="000000" w:sz="4" w:space="0"/>
              <w:bottom w:val="single" w:color="000000" w:sz="4" w:space="0"/>
              <w:right w:val="single" w:color="000000" w:sz="4" w:space="0"/>
            </w:tcBorders>
            <w:shd w:val="clear" w:color="auto" w:fill="auto"/>
            <w:noWrap w:val="0"/>
            <w:vAlign w:val="center"/>
          </w:tcPr>
          <w:p w14:paraId="7431D75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合计</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99DF9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sz w:val="24"/>
                <w:szCs w:val="24"/>
                <w:highlight w:val="none"/>
                <w:u w:val="none"/>
                <w:lang w:val="en-US" w:eastAsia="zh-CN"/>
              </w:rPr>
              <w:t>35</w:t>
            </w: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F59BB8">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auto"/>
                <w:sz w:val="24"/>
                <w:szCs w:val="24"/>
                <w:highlight w:val="none"/>
                <w:u w:val="none"/>
              </w:rPr>
            </w:pPr>
          </w:p>
        </w:tc>
        <w:tc>
          <w:tcPr>
            <w:tcW w:w="408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92C5A9">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auto"/>
                <w:sz w:val="24"/>
                <w:szCs w:val="24"/>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3C87B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sz w:val="24"/>
                <w:szCs w:val="24"/>
                <w:highlight w:val="none"/>
                <w:u w:val="none"/>
                <w:lang w:val="en-US" w:eastAsia="zh-CN"/>
              </w:rPr>
              <w:fldChar w:fldCharType="begin"/>
            </w:r>
            <w:r>
              <w:rPr>
                <w:rFonts w:hint="eastAsia" w:ascii="仿宋_GB2312" w:hAnsi="仿宋_GB2312" w:eastAsia="仿宋_GB2312" w:cs="仿宋_GB2312"/>
                <w:b/>
                <w:bCs/>
                <w:i w:val="0"/>
                <w:iCs w:val="0"/>
                <w:color w:val="auto"/>
                <w:sz w:val="24"/>
                <w:szCs w:val="24"/>
                <w:highlight w:val="none"/>
                <w:u w:val="none"/>
                <w:lang w:val="en-US" w:eastAsia="zh-CN"/>
              </w:rPr>
              <w:instrText xml:space="preserve"> = sum(E2:E9) \* MERGEFORMAT </w:instrText>
            </w:r>
            <w:r>
              <w:rPr>
                <w:rFonts w:hint="eastAsia" w:ascii="仿宋_GB2312" w:hAnsi="仿宋_GB2312" w:eastAsia="仿宋_GB2312" w:cs="仿宋_GB2312"/>
                <w:b/>
                <w:bCs/>
                <w:i w:val="0"/>
                <w:iCs w:val="0"/>
                <w:color w:val="auto"/>
                <w:sz w:val="24"/>
                <w:szCs w:val="24"/>
                <w:highlight w:val="none"/>
                <w:u w:val="none"/>
                <w:lang w:val="en-US" w:eastAsia="zh-CN"/>
              </w:rPr>
              <w:fldChar w:fldCharType="separate"/>
            </w:r>
            <w:r>
              <w:rPr>
                <w:rFonts w:hint="eastAsia" w:ascii="仿宋_GB2312" w:hAnsi="仿宋_GB2312" w:eastAsia="仿宋_GB2312" w:cs="仿宋_GB2312"/>
                <w:b/>
                <w:bCs/>
                <w:i w:val="0"/>
                <w:iCs w:val="0"/>
                <w:color w:val="auto"/>
                <w:sz w:val="24"/>
                <w:szCs w:val="24"/>
                <w:highlight w:val="none"/>
                <w:u w:val="none"/>
                <w:lang w:val="en-US" w:eastAsia="zh-CN"/>
              </w:rPr>
              <w:t>35</w:t>
            </w:r>
            <w:r>
              <w:rPr>
                <w:rFonts w:hint="eastAsia" w:ascii="仿宋_GB2312" w:hAnsi="仿宋_GB2312" w:eastAsia="仿宋_GB2312" w:cs="仿宋_GB2312"/>
                <w:b/>
                <w:bCs/>
                <w:i w:val="0"/>
                <w:iCs w:val="0"/>
                <w:color w:val="auto"/>
                <w:sz w:val="24"/>
                <w:szCs w:val="24"/>
                <w:highlight w:val="none"/>
                <w:u w:val="none"/>
                <w:lang w:val="en-US" w:eastAsia="zh-CN"/>
              </w:rPr>
              <w:fldChar w:fldCharType="end"/>
            </w:r>
          </w:p>
        </w:tc>
        <w:tc>
          <w:tcPr>
            <w:tcW w:w="868" w:type="dxa"/>
            <w:tcBorders>
              <w:top w:val="single" w:color="000000" w:sz="4" w:space="0"/>
              <w:left w:val="single" w:color="000000" w:sz="4" w:space="0"/>
              <w:bottom w:val="single" w:color="000000" w:sz="4" w:space="0"/>
            </w:tcBorders>
            <w:shd w:val="clear" w:color="auto" w:fill="auto"/>
            <w:noWrap w:val="0"/>
            <w:vAlign w:val="center"/>
          </w:tcPr>
          <w:p w14:paraId="1970C97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30.52</w:t>
            </w:r>
          </w:p>
        </w:tc>
      </w:tr>
    </w:tbl>
    <w:p w14:paraId="2D8226E8">
      <w:pPr>
        <w:pStyle w:val="2"/>
        <w:keepNext w:val="0"/>
        <w:keepLines w:val="0"/>
        <w:pageBreakBefore w:val="0"/>
        <w:widowControl w:val="0"/>
        <w:numPr>
          <w:ilvl w:val="0"/>
          <w:numId w:val="0"/>
        </w:numPr>
        <w:kinsoku/>
        <w:wordWrap/>
        <w:overflowPunct/>
        <w:topLinePunct w:val="0"/>
        <w:autoSpaceDE/>
        <w:autoSpaceDN/>
        <w:bidi w:val="0"/>
        <w:adjustRightInd/>
        <w:snapToGrid/>
        <w:spacing w:before="165" w:beforeLines="50" w:after="0" w:line="560" w:lineRule="exact"/>
        <w:ind w:right="0" w:righ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1.经济效益方面。</w:t>
      </w:r>
      <w:r>
        <w:rPr>
          <w:rFonts w:hint="eastAsia" w:ascii="仿宋_GB2312" w:hAnsi="仿宋_GB2312" w:eastAsia="仿宋_GB2312" w:cs="仿宋_GB2312"/>
          <w:color w:val="auto"/>
          <w:kern w:val="2"/>
          <w:sz w:val="32"/>
          <w:szCs w:val="32"/>
          <w:highlight w:val="none"/>
          <w:lang w:val="en-US" w:eastAsia="zh-CN" w:bidi="ar-SA"/>
        </w:rPr>
        <w:t>项目虽不直接产生经济效益，但可改善当地的投资环境，为经济社会发展打造良好的环境，促进区域经济发展</w:t>
      </w:r>
      <w:r>
        <w:rPr>
          <w:rFonts w:hint="eastAsia" w:ascii="仿宋_GB2312" w:hAnsi="仿宋_GB2312" w:eastAsia="仿宋_GB2312" w:cs="仿宋_GB2312"/>
          <w:color w:val="auto"/>
          <w:sz w:val="32"/>
          <w:szCs w:val="32"/>
          <w:highlight w:val="none"/>
          <w:lang w:val="en-US" w:eastAsia="zh-CN"/>
        </w:rPr>
        <w:t>。</w:t>
      </w:r>
    </w:p>
    <w:p w14:paraId="6A25DF88">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2.社会效益方面。</w:t>
      </w:r>
      <w:r>
        <w:rPr>
          <w:rFonts w:hint="eastAsia" w:ascii="仿宋_GB2312" w:hAnsi="仿宋_GB2312" w:eastAsia="仿宋_GB2312" w:cs="仿宋_GB2312"/>
          <w:color w:val="auto"/>
          <w:kern w:val="2"/>
          <w:sz w:val="32"/>
          <w:szCs w:val="32"/>
          <w:highlight w:val="none"/>
          <w:lang w:val="en-US" w:eastAsia="zh-CN" w:bidi="ar-SA"/>
        </w:rPr>
        <w:t>通过项目实施，能有效提高和发挥基础设施社会服务功能，推进道路工程、绿化、亮化等基础设施建设，不断完善城市功能，提高居民生活品质，对于加速扶风县及绛帐镇的建设和发展，进一步改善当地的投资环境，促进区域经济社会高质量发展具有重要的作用和意义。因此，项目社会效益较好。</w:t>
      </w:r>
    </w:p>
    <w:p w14:paraId="5769D21C">
      <w:pPr>
        <w:pStyle w:val="2"/>
        <w:keepNext w:val="0"/>
        <w:keepLines w:val="0"/>
        <w:pageBreakBefore w:val="0"/>
        <w:widowControl w:val="0"/>
        <w:kinsoku/>
        <w:wordWrap/>
        <w:overflowPunct/>
        <w:topLinePunct w:val="0"/>
        <w:autoSpaceDE/>
        <w:autoSpaceDN/>
        <w:bidi w:val="0"/>
        <w:adjustRightInd/>
        <w:snapToGrid/>
        <w:spacing w:after="0" w:line="560" w:lineRule="exact"/>
        <w:ind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3.生态环境方面。</w:t>
      </w:r>
      <w:r>
        <w:rPr>
          <w:rFonts w:hint="eastAsia" w:ascii="仿宋_GB2312" w:hAnsi="仿宋_GB2312" w:eastAsia="仿宋_GB2312" w:cs="仿宋_GB2312"/>
          <w:color w:val="auto"/>
          <w:kern w:val="2"/>
          <w:sz w:val="32"/>
          <w:szCs w:val="32"/>
          <w:highlight w:val="none"/>
          <w:lang w:val="en-US" w:eastAsia="zh-CN" w:bidi="ar-SA"/>
        </w:rPr>
        <w:t>通过加快基础设施建设，把绛帐镇建设成为一个道路通畅、环境美、景观秀丽的新城镇，将提升绛帐镇的城市形象。因此，</w:t>
      </w:r>
      <w:r>
        <w:rPr>
          <w:rFonts w:hint="eastAsia" w:ascii="仿宋_GB2312" w:hAnsi="仿宋_GB2312" w:eastAsia="仿宋_GB2312" w:cs="仿宋_GB2312"/>
          <w:color w:val="auto"/>
          <w:sz w:val="32"/>
          <w:szCs w:val="32"/>
          <w:highlight w:val="none"/>
          <w:lang w:val="en-US" w:eastAsia="zh-CN"/>
        </w:rPr>
        <w:t>项目生态环境效益好。</w:t>
      </w:r>
    </w:p>
    <w:p w14:paraId="40CA7F17">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4.可持续影响方面。</w:t>
      </w:r>
      <w:r>
        <w:rPr>
          <w:rFonts w:hint="eastAsia" w:ascii="仿宋_GB2312" w:hAnsi="仿宋_GB2312" w:eastAsia="仿宋_GB2312" w:cs="仿宋_GB2312"/>
          <w:color w:val="auto"/>
          <w:kern w:val="2"/>
          <w:sz w:val="32"/>
          <w:szCs w:val="32"/>
          <w:highlight w:val="none"/>
          <w:lang w:val="en-US" w:eastAsia="zh-CN" w:bidi="ar-SA"/>
        </w:rPr>
        <w:t>通过项目实施。对于加速扶风县及绛帐镇的建设和发展，进一步改善当地的投资环境，促进社会事业发展和区域的经济高质量发展具有重要的作用和意义。但项目建成后长效管护机制尚不健全。</w:t>
      </w:r>
    </w:p>
    <w:p w14:paraId="56AAE18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5.受表彰情况。项目实施单位相关工作2024年未受到市级以上表彰奖励。</w:t>
      </w:r>
    </w:p>
    <w:p w14:paraId="15956D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6.满意度方面。通过走访部分群众和随机发放纸质调查问卷结果显示，群众整体满意度约为95.20%，大多数群众对项目的实施满意度高。但仍有一些群众对项目前期设计（道沿应设计成花坛）、建成效果（门前路坡度地，下雨积水）不够满意</w:t>
      </w:r>
      <w:r>
        <w:rPr>
          <w:rFonts w:hint="eastAsia" w:ascii="仿宋_GB2312" w:hAnsi="仿宋_GB2312" w:eastAsia="仿宋_GB2312" w:cs="仿宋_GB2312"/>
          <w:color w:val="auto"/>
          <w:kern w:val="2"/>
          <w:sz w:val="32"/>
          <w:szCs w:val="32"/>
          <w:highlight w:val="none"/>
          <w:lang w:val="en-US" w:eastAsia="zh-CN" w:bidi="ar-SA"/>
        </w:rPr>
        <w:t>。</w:t>
      </w:r>
    </w:p>
    <w:p w14:paraId="494D05A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评价组认为，项目资金管理有序，经济效益，社会效益较好，可持续影响较为长远，群众满意度较高，专项资金的社会效益作用发挥较为充分。</w:t>
      </w:r>
    </w:p>
    <w:p w14:paraId="638DDB7A">
      <w:pPr>
        <w:widowControl w:val="0"/>
        <w:spacing w:line="600" w:lineRule="exact"/>
        <w:ind w:firstLine="646" w:firstLineChars="200"/>
        <w:outlineLvl w:val="0"/>
        <w:rPr>
          <w:rFonts w:hint="eastAsia" w:ascii="黑体" w:hAnsi="黑体" w:eastAsia="黑体" w:cs="黑体"/>
          <w:color w:val="auto"/>
          <w:sz w:val="32"/>
          <w:szCs w:val="32"/>
          <w:highlight w:val="none"/>
          <w:lang w:val="en-US" w:eastAsia="zh-CN"/>
        </w:rPr>
      </w:pPr>
      <w:bookmarkStart w:id="3" w:name="_Toc7209"/>
      <w:bookmarkStart w:id="4" w:name="_Toc2070"/>
      <w:r>
        <w:rPr>
          <w:rFonts w:hint="eastAsia" w:ascii="黑体" w:hAnsi="黑体" w:eastAsia="黑体" w:cs="黑体"/>
          <w:b w:val="0"/>
          <w:bCs w:val="0"/>
          <w:color w:val="auto"/>
          <w:kern w:val="2"/>
          <w:sz w:val="32"/>
          <w:szCs w:val="32"/>
          <w:highlight w:val="none"/>
          <w:lang w:val="en-US" w:eastAsia="zh-CN" w:bidi="ar-SA"/>
        </w:rPr>
        <w:t>五、</w:t>
      </w:r>
      <w:bookmarkEnd w:id="3"/>
      <w:bookmarkEnd w:id="4"/>
      <w:r>
        <w:rPr>
          <w:rFonts w:hint="eastAsia" w:ascii="黑体" w:hAnsi="黑体" w:eastAsia="黑体" w:cs="黑体"/>
          <w:b w:val="0"/>
          <w:bCs w:val="0"/>
          <w:color w:val="auto"/>
          <w:kern w:val="2"/>
          <w:sz w:val="32"/>
          <w:szCs w:val="32"/>
          <w:highlight w:val="none"/>
          <w:lang w:val="en-US" w:eastAsia="zh-CN" w:bidi="ar-SA"/>
        </w:rPr>
        <w:t>存在的问题及原因分析</w:t>
      </w:r>
    </w:p>
    <w:p w14:paraId="4C28C207">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（一）项目跨年度实施，进展缓慢。</w:t>
      </w:r>
      <w:r>
        <w:rPr>
          <w:rFonts w:hint="eastAsia" w:ascii="仿宋_GB2312" w:hAnsi="仿宋_GB2312" w:eastAsia="仿宋_GB2312" w:cs="仿宋_GB2312"/>
          <w:color w:val="auto"/>
          <w:kern w:val="2"/>
          <w:sz w:val="32"/>
          <w:szCs w:val="32"/>
          <w:highlight w:val="none"/>
          <w:lang w:val="en-US" w:eastAsia="zh-CN" w:bidi="ar-SA"/>
        </w:rPr>
        <w:t>项目计划建设期限2024年3月</w:t>
      </w:r>
      <w:r>
        <w:rPr>
          <w:rFonts w:hint="eastAsia" w:ascii="仿宋_GB2312" w:hAnsi="仿宋_GB2312" w:eastAsia="仿宋_GB2312" w:cs="仿宋_GB2312"/>
          <w:color w:val="auto"/>
          <w:kern w:val="2"/>
          <w:sz w:val="32"/>
          <w:szCs w:val="32"/>
          <w:highlight w:val="none"/>
          <w:lang w:val="zh-CN" w:eastAsia="zh-CN" w:bidi="ar-SA"/>
        </w:rPr>
        <w:t>至</w:t>
      </w:r>
      <w:r>
        <w:rPr>
          <w:rFonts w:hint="eastAsia" w:ascii="仿宋_GB2312" w:hAnsi="仿宋_GB2312" w:eastAsia="仿宋_GB2312" w:cs="仿宋_GB2312"/>
          <w:color w:val="auto"/>
          <w:kern w:val="2"/>
          <w:sz w:val="32"/>
          <w:szCs w:val="32"/>
          <w:highlight w:val="none"/>
          <w:lang w:val="en-US" w:eastAsia="zh-CN" w:bidi="ar-SA"/>
        </w:rPr>
        <w:t>2024年12月，实际建设期限2024年9月至2025年1月。截至2025年6月评价时，尚未进行竣工验收和审计工作。</w:t>
      </w:r>
    </w:p>
    <w:p w14:paraId="7F02532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lang w:val="en-US" w:eastAsia="zh-CN"/>
        </w:rPr>
      </w:pPr>
      <w:r>
        <w:rPr>
          <w:rFonts w:hint="eastAsia" w:ascii="楷体" w:hAnsi="楷体" w:eastAsia="楷体" w:cs="楷体"/>
          <w:b/>
          <w:bCs/>
          <w:kern w:val="2"/>
          <w:sz w:val="32"/>
          <w:szCs w:val="32"/>
          <w:highlight w:val="none"/>
          <w:lang w:val="en-US" w:eastAsia="zh-CN" w:bidi="ar-SA"/>
        </w:rPr>
        <w:t>（二）财务管理工作存在不足。</w:t>
      </w:r>
      <w:r>
        <w:rPr>
          <w:rFonts w:hint="default" w:ascii="仿宋_GB2312" w:hAnsi="仿宋_GB2312" w:eastAsia="仿宋_GB2312" w:cs="仿宋_GB2312"/>
          <w:kern w:val="2"/>
          <w:sz w:val="32"/>
          <w:szCs w:val="32"/>
          <w:highlight w:val="none"/>
          <w:lang w:val="en-US" w:eastAsia="zh-CN" w:bidi="ar-SA"/>
        </w:rPr>
        <w:t>一是项目2024年支付的工程款212,116.46元，账务处理采用费用化方式，未计入</w:t>
      </w:r>
      <w:r>
        <w:rPr>
          <w:rFonts w:hint="eastAsia" w:ascii="仿宋_GB2312" w:hAnsi="仿宋_GB2312" w:eastAsia="仿宋_GB2312" w:cs="仿宋_GB2312"/>
          <w:kern w:val="2"/>
          <w:sz w:val="32"/>
          <w:szCs w:val="32"/>
          <w:highlight w:val="none"/>
          <w:lang w:val="en-US" w:eastAsia="zh-CN" w:bidi="ar-SA"/>
        </w:rPr>
        <w:t>资产类</w:t>
      </w:r>
      <w:r>
        <w:rPr>
          <w:rFonts w:hint="default" w:ascii="仿宋_GB2312" w:hAnsi="仿宋_GB2312" w:eastAsia="仿宋_GB2312" w:cs="仿宋_GB2312"/>
          <w:kern w:val="2"/>
          <w:sz w:val="32"/>
          <w:szCs w:val="32"/>
          <w:highlight w:val="none"/>
          <w:lang w:val="en-US" w:eastAsia="zh-CN" w:bidi="ar-SA"/>
        </w:rPr>
        <w:t>“在建工程”科目，这一情况对后续资产的确权移交工作产生了影响。二是凭证处于零散状态，尚未完成装订工作。</w:t>
      </w:r>
    </w:p>
    <w:p w14:paraId="548E79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楷体" w:hAnsi="楷体" w:eastAsia="楷体" w:cs="楷体"/>
          <w:b/>
          <w:bCs/>
          <w:kern w:val="2"/>
          <w:sz w:val="32"/>
          <w:szCs w:val="32"/>
          <w:highlight w:val="none"/>
          <w:lang w:val="en-US" w:eastAsia="zh-CN" w:bidi="ar-SA"/>
        </w:rPr>
        <w:t>（三）项目绩效管理工作存在不足。</w:t>
      </w:r>
      <w:r>
        <w:rPr>
          <w:rFonts w:hint="eastAsia" w:ascii="仿宋_GB2312" w:hAnsi="仿宋_GB2312" w:eastAsia="仿宋_GB2312" w:cs="仿宋_GB2312"/>
          <w:color w:val="auto"/>
          <w:kern w:val="2"/>
          <w:sz w:val="32"/>
          <w:szCs w:val="32"/>
          <w:highlight w:val="none"/>
          <w:lang w:val="en-US" w:eastAsia="zh-CN" w:bidi="ar-SA"/>
        </w:rPr>
        <w:t>尽管项目实施单位已开展了绩效管理工作，但仍存在着对预算绩效管理认识不够到位，绩效管理机制尚未建立，部分绩效目标设置不够合理、不够明确，绩效自评工作不规范，自评报告不详实，绩效责任约束作用不强等问题。</w:t>
      </w:r>
    </w:p>
    <w:p w14:paraId="0803DC70">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黑体" w:hAnsi="黑体" w:eastAsia="黑体" w:cs="仿宋_GB2312"/>
          <w:color w:val="auto"/>
          <w:sz w:val="32"/>
          <w:szCs w:val="32"/>
          <w:highlight w:val="none"/>
          <w:lang w:val="en-US" w:eastAsia="zh-CN"/>
        </w:rPr>
        <w:t>六、相关建议</w:t>
      </w:r>
    </w:p>
    <w:p w14:paraId="6E2C90A5">
      <w:pPr>
        <w:pStyle w:val="2"/>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（一）认真编制项目实施方案，确保项目按计划实施。</w:t>
      </w:r>
      <w:r>
        <w:rPr>
          <w:rFonts w:hint="eastAsia" w:ascii="仿宋_GB2312" w:hAnsi="仿宋_GB2312" w:eastAsia="仿宋_GB2312" w:cs="仿宋_GB2312"/>
          <w:color w:val="auto"/>
          <w:kern w:val="2"/>
          <w:sz w:val="32"/>
          <w:szCs w:val="32"/>
          <w:highlight w:val="none"/>
          <w:lang w:val="en-US" w:eastAsia="zh-CN" w:bidi="ar-SA"/>
        </w:rPr>
        <w:t>一是建议项目单位在今后的相关工作中，应根据相关批复及其工作进展总体安排等情况，以及在项目实施的难点、堵点等因素的分析和研判基础上，认真制定内容明确、投资方案清晰、实施计划、期限、时效与保障措施具体、切实可行的项目实施（建设）方案，为项目进行科学组织管理、合理部署、顺利建设、高效运行提供决策依据</w:t>
      </w:r>
      <w:r>
        <w:rPr>
          <w:rFonts w:hint="default" w:ascii="仿宋_GB2312" w:hAnsi="仿宋_GB2312" w:eastAsia="仿宋_GB2312" w:cs="仿宋_GB2312"/>
          <w:color w:val="auto"/>
          <w:kern w:val="2"/>
          <w:sz w:val="32"/>
          <w:szCs w:val="32"/>
          <w:highlight w:val="none"/>
          <w:lang w:val="en-US" w:eastAsia="zh-CN" w:bidi="ar-SA"/>
        </w:rPr>
        <w:t>和</w:t>
      </w:r>
      <w:r>
        <w:rPr>
          <w:rFonts w:hint="eastAsia" w:ascii="仿宋_GB2312" w:hAnsi="仿宋_GB2312" w:eastAsia="仿宋_GB2312" w:cs="仿宋_GB2312"/>
          <w:color w:val="auto"/>
          <w:kern w:val="2"/>
          <w:sz w:val="32"/>
          <w:szCs w:val="32"/>
          <w:highlight w:val="none"/>
          <w:lang w:val="en-US" w:eastAsia="zh-CN" w:bidi="ar-SA"/>
        </w:rPr>
        <w:t>支撑。二要提前谋划，倒排工期，挂图作战，尽快制定可行的工程完工时间计划表，并根据工程施工过程，向前拟定出每一阶段的完工时间，从而便于督促和检查，保障在预定的时间内完成工程。三是加强团队沟通与合作，建立严格的工期监控机制，合理分配资源，进行风险管理，并不断优化项目管理流程，有效提升项目工期管理的水平，加快项目建设进度，确保项目早日竣工。</w:t>
      </w:r>
    </w:p>
    <w:p w14:paraId="70CAF45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righ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（二）加强财务管理，规范账务处理。</w:t>
      </w:r>
      <w:r>
        <w:rPr>
          <w:rFonts w:hint="eastAsia" w:ascii="仿宋_GB2312" w:hAnsi="仿宋_GB2312" w:eastAsia="仿宋_GB2312" w:cs="仿宋_GB2312"/>
          <w:color w:val="auto"/>
          <w:kern w:val="2"/>
          <w:sz w:val="32"/>
          <w:szCs w:val="32"/>
          <w:highlight w:val="none"/>
          <w:lang w:val="en-US" w:eastAsia="zh-CN" w:bidi="ar-SA"/>
        </w:rPr>
        <w:t>一是</w:t>
      </w:r>
      <w:r>
        <w:rPr>
          <w:rFonts w:hint="default" w:ascii="仿宋_GB2312" w:hAnsi="仿宋_GB2312" w:eastAsia="仿宋_GB2312" w:cs="仿宋_GB2312"/>
          <w:color w:val="auto"/>
          <w:kern w:val="2"/>
          <w:sz w:val="32"/>
          <w:szCs w:val="32"/>
          <w:highlight w:val="none"/>
          <w:lang w:val="en-US" w:eastAsia="zh-CN" w:bidi="ar-SA"/>
        </w:rPr>
        <w:t>应及时对2024年支付的工程款账务处理进行调整，将费用化核算更正为资本化核算，计入资产类“在建工程”科目，确保账务处理的合规性和可追溯性</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保障后续资产确权移交工作的顺利开展。</w:t>
      </w:r>
      <w:r>
        <w:rPr>
          <w:rFonts w:hint="eastAsia" w:ascii="仿宋_GB2312" w:hAnsi="仿宋_GB2312" w:eastAsia="仿宋_GB2312" w:cs="仿宋_GB2312"/>
          <w:color w:val="auto"/>
          <w:kern w:val="2"/>
          <w:sz w:val="32"/>
          <w:szCs w:val="32"/>
          <w:highlight w:val="none"/>
          <w:lang w:val="en-US" w:eastAsia="zh-CN" w:bidi="ar-SA"/>
        </w:rPr>
        <w:t>二是</w:t>
      </w:r>
      <w:r>
        <w:rPr>
          <w:rFonts w:hint="default" w:ascii="仿宋_GB2312" w:hAnsi="仿宋_GB2312" w:eastAsia="仿宋_GB2312" w:cs="仿宋_GB2312"/>
          <w:color w:val="auto"/>
          <w:kern w:val="2"/>
          <w:sz w:val="32"/>
          <w:szCs w:val="32"/>
          <w:highlight w:val="none"/>
          <w:lang w:val="en-US" w:eastAsia="zh-CN" w:bidi="ar-SA"/>
        </w:rPr>
        <w:t>应尽快对2025年零散的凭证进行整理归类，按照会计凭证装订规范及时完成装订工作</w:t>
      </w:r>
      <w:r>
        <w:rPr>
          <w:rFonts w:hint="eastAsia" w:ascii="仿宋_GB2312" w:hAnsi="仿宋_GB2312" w:eastAsia="仿宋_GB2312" w:cs="仿宋_GB2312"/>
          <w:color w:val="auto"/>
          <w:kern w:val="2"/>
          <w:sz w:val="32"/>
          <w:szCs w:val="32"/>
          <w:highlight w:val="none"/>
          <w:lang w:val="en-US" w:eastAsia="zh-CN" w:bidi="ar-SA"/>
        </w:rPr>
        <w:t>，同时</w:t>
      </w:r>
      <w:r>
        <w:rPr>
          <w:rFonts w:hint="default" w:ascii="仿宋_GB2312" w:hAnsi="仿宋_GB2312" w:eastAsia="仿宋_GB2312" w:cs="仿宋_GB2312"/>
          <w:color w:val="auto"/>
          <w:kern w:val="2"/>
          <w:sz w:val="32"/>
          <w:szCs w:val="32"/>
          <w:highlight w:val="none"/>
          <w:lang w:val="en-US" w:eastAsia="zh-CN" w:bidi="ar-SA"/>
        </w:rPr>
        <w:t>明确凭证收集、整理、装订的时间节点和责任人，以保证会计资料的完整性和规范性。</w:t>
      </w:r>
    </w:p>
    <w:p w14:paraId="235766E8">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（三）增强绩效意识，强化绩效管理。</w:t>
      </w:r>
      <w:r>
        <w:rPr>
          <w:rFonts w:hint="eastAsia" w:ascii="仿宋_GB2312" w:hAnsi="仿宋_GB2312" w:eastAsia="仿宋_GB2312" w:cs="仿宋_GB2312"/>
          <w:color w:val="auto"/>
          <w:kern w:val="2"/>
          <w:sz w:val="32"/>
          <w:szCs w:val="32"/>
          <w:highlight w:val="none"/>
          <w:lang w:val="en-US" w:eastAsia="zh-CN" w:bidi="ar-SA"/>
        </w:rPr>
        <w:t>一是项目单位要切实增强绩效管理理念，树立绩效管理意识，筑牢“花钱必问效，无效必问责”的绩效理念，要学懂弄通项目绩效考核指标的各项要求，掌握指标内容和含义，努力提高绩效目标编制的完整性和规范性，并要着力健全项目绩效长效机制。二是项目单位要强化预算绩效目标管理，科学设置项目绩效目标，</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HYPERLINK "https://www.so.com/link?m=bi3R41Ewdd5mEguxzKHLJ0zRK9RCMpbIE2ohWRNgO+nbr7/MK322ZLB+nUyMJaIS/zPAt0Iy7kJ6updQyJj7q74l2KsT+8LTwogzKMLWZXlqrPFSZwry0iEQqSBiN9pbdSjnNJDPvQ7sPJsQH3c47w0pVhevl1fm+xbwiCme6DJL+sUfbAAUOS6XsQ9kabDDRLdm0MRhmD1cOjuAD17a62yPAihHBZCfAhbRrWmTkgrxbIDW+nGR8LLUvtxMoJur/q8fv1gGy6bCGxiNmHQkAiDWUF/6dbdbI4KyHnGEtk8HYxm61Ibfz6J+ygfbBSIxdozCDYwcmfeXFE+H4a//WbkfIr4ZRMHn8i1ODMmqr+AHDI7ZlsHxk5Z5aUg63ATuqrGEddxQWpqM=" \t "https://www.so.com/_blank"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切实增强绩效目标的完整性、相关性、适当性和可行性</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确保项目绩效目标与政策目标、社会公众需求、财政投入规模、部门职责职能、项目实施计划等相匹配。三是项目单位要切实担负起预算绩效管理主体责任，进一步完善内部管理机制，严格按照既定的项目绩效目标指标任务，科学规划行动方案，制定确保项目目标实现的保障措施，同时，要加强预算绩效管理</w:t>
      </w:r>
      <w:r>
        <w:rPr>
          <w:rFonts w:hint="default" w:ascii="仿宋_GB2312" w:hAnsi="仿宋_GB2312" w:eastAsia="仿宋_GB2312" w:cs="仿宋_GB2312"/>
          <w:color w:val="auto"/>
          <w:kern w:val="2"/>
          <w:sz w:val="32"/>
          <w:szCs w:val="32"/>
          <w:highlight w:val="none"/>
          <w:lang w:val="en-US" w:eastAsia="zh-CN" w:bidi="ar-SA"/>
        </w:rPr>
        <w:t>的监督检查力度</w:t>
      </w:r>
      <w:r>
        <w:rPr>
          <w:rFonts w:hint="eastAsia" w:ascii="仿宋_GB2312" w:hAnsi="仿宋_GB2312" w:eastAsia="仿宋_GB2312" w:cs="仿宋_GB2312"/>
          <w:color w:val="auto"/>
          <w:kern w:val="2"/>
          <w:sz w:val="32"/>
          <w:szCs w:val="32"/>
          <w:highlight w:val="none"/>
          <w:lang w:val="en-US" w:eastAsia="zh-CN" w:bidi="ar-SA"/>
        </w:rPr>
        <w:t>，着力</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HYPERLINK "https://www.so.com/link?m=bnd0CS7m7t9AaAvPB2vH3BRP3/yfQNsp7znNkGwWuAe2gRUIUiYZWEEBblmgEYi8HDloBvW8bC0mfHnSxA9UV1RBK/q3fx8zjIVpaTUgIaI3PDpZjJw+1eKU+k5YLUEFStmegNVtQIutFjMVz2F2ygLqp5a5M4MsKcIfm1NDvADG/SVEEgtZsLfSEEFShYsXI52EGDRCuBmB4+bEXdNWf7HQiuw3pahee5pto3xMW5uZP03jp72j5kYnxo5Z8Oll7hG6fwixOvCgwBFnMyWQeGVuYLi05PdBLV6tdSyohm7xKa/ACeP3f3vzV8oTGbts7" \t "https://www.so.com/_blank"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提高财政资金使用效益</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四是项目单位要扎实开展绩效自评工作，通过对项目相关制度建立情况、资金使用情况、绩效目标实现等情况进行自我评价，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同时，要认真、准确填写自评数据表，形成详实的自评报告。</w:t>
      </w:r>
    </w:p>
    <w:p w14:paraId="46CA711A">
      <w:pPr>
        <w:keepNext w:val="0"/>
        <w:keepLines w:val="0"/>
        <w:pageBreakBefore w:val="0"/>
        <w:widowControl w:val="0"/>
        <w:kinsoku/>
        <w:wordWrap/>
        <w:overflowPunct/>
        <w:topLinePunct w:val="0"/>
        <w:autoSpaceDE/>
        <w:autoSpaceDN/>
        <w:bidi w:val="0"/>
        <w:adjustRightInd/>
        <w:snapToGrid/>
        <w:spacing w:line="560" w:lineRule="exact"/>
        <w:ind w:right="0" w:firstLine="646" w:firstLineChars="200"/>
        <w:jc w:val="left"/>
        <w:textAlignment w:val="auto"/>
        <w:rPr>
          <w:rFonts w:hint="eastAsia" w:ascii="仿宋_GB2312" w:hAnsi="仿宋_GB2312" w:eastAsia="仿宋_GB2312" w:cs="仿宋_GB2312"/>
          <w:color w:val="auto"/>
          <w:sz w:val="32"/>
          <w:szCs w:val="32"/>
          <w:highlight w:val="none"/>
        </w:rPr>
      </w:pPr>
    </w:p>
    <w:p w14:paraId="29D025DE">
      <w:pPr>
        <w:keepNext w:val="0"/>
        <w:keepLines w:val="0"/>
        <w:pageBreakBefore w:val="0"/>
        <w:widowControl w:val="0"/>
        <w:kinsoku/>
        <w:wordWrap/>
        <w:overflowPunct/>
        <w:topLinePunct w:val="0"/>
        <w:autoSpaceDE/>
        <w:autoSpaceDN/>
        <w:bidi w:val="0"/>
        <w:adjustRightInd/>
        <w:snapToGrid/>
        <w:spacing w:line="560" w:lineRule="exact"/>
        <w:ind w:right="0" w:firstLine="646" w:firstLineChars="200"/>
        <w:jc w:val="left"/>
        <w:textAlignment w:val="auto"/>
        <w:rPr>
          <w:rFonts w:hint="eastAsia" w:ascii="仿宋_GB2312" w:hAnsi="仿宋_GB2312" w:eastAsia="仿宋_GB2312" w:cs="仿宋_GB2312"/>
          <w:color w:val="auto"/>
          <w:sz w:val="32"/>
          <w:szCs w:val="32"/>
          <w:highlight w:val="none"/>
        </w:rPr>
      </w:pPr>
    </w:p>
    <w:p w14:paraId="01E59C97">
      <w:pPr>
        <w:keepNext w:val="0"/>
        <w:keepLines w:val="0"/>
        <w:pageBreakBefore w:val="0"/>
        <w:widowControl w:val="0"/>
        <w:kinsoku/>
        <w:wordWrap/>
        <w:overflowPunct/>
        <w:topLinePunct w:val="0"/>
        <w:autoSpaceDE/>
        <w:autoSpaceDN/>
        <w:bidi w:val="0"/>
        <w:adjustRightInd/>
        <w:snapToGrid/>
        <w:spacing w:line="560" w:lineRule="exact"/>
        <w:ind w:right="0" w:firstLine="646"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bCs w:val="0"/>
          <w:i w:val="0"/>
          <w:iCs w:val="0"/>
          <w:color w:val="000000"/>
          <w:kern w:val="0"/>
          <w:sz w:val="32"/>
          <w:szCs w:val="32"/>
          <w:u w:val="none"/>
          <w:lang w:val="en-US" w:eastAsia="zh-CN" w:bidi="ar"/>
        </w:rPr>
        <w:t>2024年扶风县绛帐镇迎宾路南段排水硬化工程绩效评价指标体系及评分表</w:t>
      </w:r>
    </w:p>
    <w:p w14:paraId="5716A303">
      <w:pPr>
        <w:keepNext w:val="0"/>
        <w:keepLines w:val="0"/>
        <w:pageBreakBefore w:val="0"/>
        <w:widowControl w:val="0"/>
        <w:kinsoku/>
        <w:wordWrap/>
        <w:overflowPunct/>
        <w:topLinePunct w:val="0"/>
        <w:autoSpaceDE/>
        <w:autoSpaceDN/>
        <w:bidi w:val="0"/>
        <w:adjustRightInd/>
        <w:snapToGrid/>
        <w:spacing w:line="560" w:lineRule="exact"/>
        <w:ind w:left="0" w:leftChars="0" w:right="0" w:firstLine="1615" w:firstLineChars="500"/>
        <w:jc w:val="left"/>
        <w:textAlignment w:val="auto"/>
        <w:rPr>
          <w:rFonts w:hint="eastAsia" w:ascii="仿宋" w:hAnsi="仿宋" w:eastAsia="仿宋" w:cs="仿宋"/>
          <w:sz w:val="32"/>
          <w:szCs w:val="32"/>
        </w:rPr>
      </w:pPr>
    </w:p>
    <w:p w14:paraId="22EBFB3B">
      <w:pPr>
        <w:keepNext w:val="0"/>
        <w:keepLines w:val="0"/>
        <w:pageBreakBefore w:val="0"/>
        <w:widowControl w:val="0"/>
        <w:kinsoku/>
        <w:wordWrap/>
        <w:overflowPunct/>
        <w:topLinePunct w:val="0"/>
        <w:autoSpaceDE/>
        <w:autoSpaceDN/>
        <w:bidi w:val="0"/>
        <w:adjustRightInd/>
        <w:snapToGrid/>
        <w:spacing w:line="660" w:lineRule="exact"/>
        <w:ind w:firstLine="1938" w:firstLineChars="600"/>
        <w:textAlignment w:val="auto"/>
        <w:rPr>
          <w:rFonts w:hint="eastAsia" w:ascii="仿宋" w:hAnsi="仿宋" w:eastAsia="仿宋" w:cs="仿宋"/>
          <w:sz w:val="32"/>
          <w:szCs w:val="32"/>
        </w:rPr>
      </w:pPr>
    </w:p>
    <w:p w14:paraId="1A26A640">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p>
    <w:p w14:paraId="0BAB2B4B">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right="0"/>
        <w:jc w:val="both"/>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扶风县财政局 </w:t>
      </w:r>
    </w:p>
    <w:p w14:paraId="6090E331">
      <w:pPr>
        <w:keepNext w:val="0"/>
        <w:keepLines w:val="0"/>
        <w:pageBreakBefore w:val="0"/>
        <w:widowControl w:val="0"/>
        <w:tabs>
          <w:tab w:val="left" w:pos="7050"/>
          <w:tab w:val="left" w:pos="720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日</w:t>
      </w:r>
    </w:p>
    <w:p w14:paraId="65F05F41">
      <w:pPr>
        <w:outlineLvl w:val="0"/>
        <w:rPr>
          <w:rFonts w:hint="eastAsia" w:ascii="黑体" w:hAnsi="黑体" w:eastAsia="黑体" w:cs="黑体"/>
          <w:color w:val="auto"/>
          <w:sz w:val="32"/>
          <w:szCs w:val="32"/>
          <w:highlight w:val="none"/>
        </w:rPr>
      </w:pPr>
    </w:p>
    <w:p w14:paraId="686EC98D">
      <w:pPr>
        <w:outlineLvl w:val="0"/>
        <w:rPr>
          <w:rFonts w:hint="eastAsia" w:ascii="黑体" w:hAnsi="黑体" w:eastAsia="黑体" w:cs="黑体"/>
          <w:color w:val="auto"/>
          <w:sz w:val="32"/>
          <w:szCs w:val="32"/>
          <w:highlight w:val="none"/>
        </w:rPr>
      </w:pPr>
    </w:p>
    <w:p w14:paraId="3A294F65">
      <w:pPr>
        <w:outlineLvl w:val="0"/>
        <w:rPr>
          <w:rFonts w:hint="eastAsia" w:ascii="黑体" w:hAnsi="黑体" w:eastAsia="黑体" w:cs="黑体"/>
          <w:color w:val="auto"/>
          <w:sz w:val="32"/>
          <w:szCs w:val="32"/>
          <w:highlight w:val="none"/>
        </w:rPr>
      </w:pPr>
    </w:p>
    <w:p w14:paraId="42065C1E">
      <w:pPr>
        <w:outlineLvl w:val="0"/>
        <w:rPr>
          <w:rFonts w:hint="eastAsia" w:ascii="黑体" w:hAnsi="黑体" w:eastAsia="黑体" w:cs="黑体"/>
          <w:color w:val="auto"/>
          <w:sz w:val="32"/>
          <w:szCs w:val="32"/>
          <w:highlight w:val="none"/>
        </w:rPr>
      </w:pPr>
    </w:p>
    <w:p w14:paraId="0DD7744A">
      <w:pPr>
        <w:outlineLvl w:val="0"/>
        <w:rPr>
          <w:rFonts w:hint="eastAsia" w:ascii="黑体" w:hAnsi="黑体" w:eastAsia="黑体" w:cs="黑体"/>
          <w:color w:val="auto"/>
          <w:sz w:val="32"/>
          <w:szCs w:val="32"/>
          <w:highlight w:val="none"/>
        </w:rPr>
        <w:sectPr>
          <w:headerReference r:id="rId6" w:type="first"/>
          <w:footerReference r:id="rId8" w:type="first"/>
          <w:headerReference r:id="rId5" w:type="default"/>
          <w:footerReference r:id="rId7" w:type="default"/>
          <w:pgSz w:w="11906" w:h="16838"/>
          <w:pgMar w:top="1417" w:right="1559" w:bottom="1417" w:left="1701" w:header="851" w:footer="992" w:gutter="0"/>
          <w:pgBorders>
            <w:top w:val="none" w:sz="0" w:space="0"/>
            <w:left w:val="none" w:sz="0" w:space="0"/>
            <w:bottom w:val="none" w:sz="0" w:space="0"/>
            <w:right w:val="none" w:sz="0" w:space="0"/>
          </w:pgBorders>
          <w:pgNumType w:fmt="decimal" w:start="1"/>
          <w:cols w:space="720" w:num="1"/>
          <w:titlePg/>
          <w:rtlGutter w:val="0"/>
          <w:docGrid w:type="linesAndChars" w:linePitch="327" w:charSpace="625"/>
        </w:sectPr>
      </w:pPr>
    </w:p>
    <w:p w14:paraId="522DADD5">
      <w:pPr>
        <w:outlineLvl w:val="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p>
    <w:p w14:paraId="02568F21">
      <w:pPr>
        <w:pStyle w:val="2"/>
        <w:jc w:val="center"/>
        <w:rPr>
          <w:rFonts w:hint="eastAsia"/>
          <w:lang w:val="en-US" w:eastAsia="zh-CN"/>
        </w:rPr>
      </w:pPr>
      <w:r>
        <w:rPr>
          <w:rFonts w:hint="eastAsia" w:ascii="仿宋_GB2312" w:hAnsi="仿宋_GB2312" w:eastAsia="仿宋_GB2312" w:cs="仿宋_GB2312"/>
          <w:b w:val="0"/>
          <w:bCs w:val="0"/>
          <w:i w:val="0"/>
          <w:iCs w:val="0"/>
          <w:color w:val="000000"/>
          <w:kern w:val="0"/>
          <w:sz w:val="32"/>
          <w:szCs w:val="32"/>
          <w:u w:val="none"/>
          <w:lang w:val="en-US" w:eastAsia="zh-CN" w:bidi="ar"/>
        </w:rPr>
        <w:t>2024年扶风县绛帐镇迎宾路南段排水硬化工程绩效评价指标体系及评分表</w:t>
      </w:r>
    </w:p>
    <w:tbl>
      <w:tblPr>
        <w:tblStyle w:val="15"/>
        <w:tblW w:w="1430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3"/>
        <w:gridCol w:w="1278"/>
        <w:gridCol w:w="1339"/>
        <w:gridCol w:w="7592"/>
        <w:gridCol w:w="740"/>
        <w:gridCol w:w="777"/>
        <w:gridCol w:w="2083"/>
      </w:tblGrid>
      <w:tr w14:paraId="0A4BA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tblHeader/>
        </w:trPr>
        <w:tc>
          <w:tcPr>
            <w:tcW w:w="49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290162C9">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一级</w:t>
            </w:r>
          </w:p>
          <w:p w14:paraId="232377A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指标</w:t>
            </w:r>
          </w:p>
        </w:tc>
        <w:tc>
          <w:tcPr>
            <w:tcW w:w="1278"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00A6D38C">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二级</w:t>
            </w:r>
          </w:p>
          <w:p w14:paraId="042F898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指标</w:t>
            </w:r>
          </w:p>
        </w:tc>
        <w:tc>
          <w:tcPr>
            <w:tcW w:w="1339"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2FD19C9D">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三级</w:t>
            </w:r>
          </w:p>
          <w:p w14:paraId="79F8F8C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指标</w:t>
            </w:r>
          </w:p>
        </w:tc>
        <w:tc>
          <w:tcPr>
            <w:tcW w:w="7592"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ign w:val="center"/>
          </w:tcPr>
          <w:p w14:paraId="33EB7EC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三级指标评分标准</w:t>
            </w:r>
          </w:p>
        </w:tc>
        <w:tc>
          <w:tcPr>
            <w:tcW w:w="74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0C07591F">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三级指标分值权重</w:t>
            </w:r>
          </w:p>
        </w:tc>
        <w:tc>
          <w:tcPr>
            <w:tcW w:w="77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6F62E80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三级指标评价得分</w:t>
            </w:r>
          </w:p>
        </w:tc>
        <w:tc>
          <w:tcPr>
            <w:tcW w:w="208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1EA08EF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扣分原因</w:t>
            </w:r>
          </w:p>
        </w:tc>
      </w:tr>
      <w:tr w14:paraId="075C8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93" w:type="dxa"/>
            <w:vMerge w:val="restart"/>
            <w:tcBorders>
              <w:top w:val="single" w:color="000000" w:sz="4" w:space="0"/>
              <w:left w:val="single" w:color="000000" w:sz="4" w:space="0"/>
              <w:bottom w:val="single" w:color="000000" w:sz="4" w:space="0"/>
              <w:right w:val="single" w:color="000000" w:sz="4" w:space="0"/>
            </w:tcBorders>
            <w:noWrap w:val="0"/>
            <w:vAlign w:val="center"/>
          </w:tcPr>
          <w:p w14:paraId="243F8F4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决策︵</w:t>
            </w:r>
          </w:p>
          <w:p w14:paraId="1AB6D84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12分︶</w:t>
            </w: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13651D1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w:t>
            </w:r>
          </w:p>
          <w:p w14:paraId="7DB121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立项</w:t>
            </w:r>
          </w:p>
          <w:p w14:paraId="56B4313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5D6032C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立项依据  </w:t>
            </w:r>
          </w:p>
          <w:p w14:paraId="6E70673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充分性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26AB16C2">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①项目立项符合国家法律法规、国民经济发展规划和相关政策，得0.5分；</w:t>
            </w:r>
          </w:p>
          <w:p w14:paraId="36D6B513">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②项目立项符合行业发展规划和政策要求，得0.5分；</w:t>
            </w:r>
          </w:p>
          <w:p w14:paraId="23BB1991">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③项目立项与部门职责范围相符，属于部门履职所需，得0.5分；</w:t>
            </w:r>
          </w:p>
          <w:p w14:paraId="4E912B2D">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④项目属于公共财政支持范围，符合中央、地方事权支出责任划分原则，得0.5分。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4D7E8E6">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14:paraId="79E2A0B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2</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1EF08EB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p>
        </w:tc>
      </w:tr>
      <w:tr w14:paraId="17DE0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79131A">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DFF80B">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01C5AA2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立项程序</w:t>
            </w:r>
          </w:p>
          <w:p w14:paraId="42E8ECF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规范性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43665C82">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①项目按照规定的程序申请设立，得0.5分；</w:t>
            </w:r>
          </w:p>
          <w:p w14:paraId="1AA98613">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②审批文件、材料符合相关要求，得0.5分；</w:t>
            </w:r>
          </w:p>
          <w:p w14:paraId="0436BE1D">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③项目有完整可行的实施方案或相关报告，得0.5分；</w:t>
            </w:r>
          </w:p>
          <w:p w14:paraId="174190D4">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Style w:val="23"/>
                <w:rFonts w:hint="eastAsia" w:ascii="仿宋_GB2312" w:hAnsi="仿宋_GB2312" w:eastAsia="仿宋_GB2312" w:cs="仿宋_GB2312"/>
                <w:sz w:val="21"/>
                <w:szCs w:val="21"/>
                <w:lang w:val="en-US" w:eastAsia="zh-CN" w:bidi="ar"/>
              </w:rPr>
              <w:t>④事前已经过必要的研究、论证、风险评估、绩效评估、集体决策，得0.5分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375BB0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14:paraId="5776FC4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1.5</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232F9947">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项目实施方案不够详实，事前绩效评估等工作存在不足</w:t>
            </w:r>
          </w:p>
        </w:tc>
      </w:tr>
      <w:tr w14:paraId="3DE4F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15603E">
            <w:pPr>
              <w:jc w:val="center"/>
              <w:rPr>
                <w:rFonts w:hint="eastAsia" w:ascii="仿宋_GB2312" w:hAnsi="仿宋_GB2312" w:eastAsia="仿宋_GB2312" w:cs="仿宋_GB2312"/>
                <w:i w:val="0"/>
                <w:iCs w:val="0"/>
                <w:color w:val="000000"/>
                <w:sz w:val="21"/>
                <w:szCs w:val="21"/>
                <w:u w:val="none"/>
              </w:rPr>
            </w:pP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28C8C40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绩效</w:t>
            </w:r>
          </w:p>
          <w:p w14:paraId="7F279EB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目标</w:t>
            </w:r>
          </w:p>
          <w:p w14:paraId="6809A67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6BF19C9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绩效目标  </w:t>
            </w:r>
          </w:p>
          <w:p w14:paraId="2DE7D95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合理性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2F6F278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①符合国家相关法律法规和中省市县党委、政府决策得0.5分；</w:t>
            </w:r>
          </w:p>
          <w:p w14:paraId="6573232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②与项目实施单位职责密切相关得0.5分；</w:t>
            </w:r>
          </w:p>
          <w:p w14:paraId="18EBC13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③项目是为提升基础设施建设所必需得0.5分；</w:t>
            </w:r>
          </w:p>
          <w:p w14:paraId="437FE031">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④项目预期目标符合客观实际，能够在一定期限内如期实现，得0.5分。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7B2871F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5E0D06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1.8</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4399C81E">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部分绩效目标设置不合理</w:t>
            </w:r>
          </w:p>
        </w:tc>
      </w:tr>
      <w:tr w14:paraId="2923B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0E7E81">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355B74">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1306965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绩效指标  </w:t>
            </w:r>
          </w:p>
          <w:p w14:paraId="52AF98C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明确性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2B857027">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①项目按照绩效目标要求申报，得0.5分；</w:t>
            </w:r>
          </w:p>
          <w:p w14:paraId="7E5C040E">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②绩效目标通过清晰、可量化的指标体现，得0.5分；                      </w:t>
            </w:r>
          </w:p>
          <w:p w14:paraId="78DFD641">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③绩效目标与项目年度任务数或计划数相对应，得0.5分；                        </w:t>
            </w:r>
          </w:p>
          <w:p w14:paraId="4093F935">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④预算确定的项目与分配资金量相匹配，得0.5分。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36C22DF1">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248BC0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1.8</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7A46828C">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部分绩效目标设置不明确</w:t>
            </w:r>
          </w:p>
        </w:tc>
      </w:tr>
      <w:tr w14:paraId="29B53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8"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953363">
            <w:pPr>
              <w:jc w:val="center"/>
              <w:rPr>
                <w:rFonts w:hint="eastAsia" w:ascii="仿宋_GB2312" w:hAnsi="仿宋_GB2312" w:eastAsia="仿宋_GB2312" w:cs="仿宋_GB2312"/>
                <w:i w:val="0"/>
                <w:iCs w:val="0"/>
                <w:color w:val="000000"/>
                <w:sz w:val="21"/>
                <w:szCs w:val="21"/>
                <w:u w:val="none"/>
              </w:rPr>
            </w:pP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2C5A79E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资金</w:t>
            </w:r>
          </w:p>
          <w:p w14:paraId="0A6E0F8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投入</w:t>
            </w:r>
          </w:p>
          <w:p w14:paraId="7639D9C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0F79AC41">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预算编制   科学性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612E49E3">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①预算编制经过科学论证，得0.5分</w:t>
            </w:r>
          </w:p>
          <w:p w14:paraId="7B4884A2">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②预算内容与项目内容相匹配，得0.5分</w:t>
            </w:r>
          </w:p>
          <w:p w14:paraId="620363FE">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③预算额度测算依据充分，并能按照标准编制，得0.5分</w:t>
            </w:r>
          </w:p>
          <w:p w14:paraId="1E3287F1">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④预算确定的项目投资额或资金量与建设任务相匹配，得0.5分。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4AE65C1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2AC6E1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1.8</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02BC39B6">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kern w:val="0"/>
                <w:sz w:val="21"/>
                <w:szCs w:val="21"/>
                <w:u w:val="none"/>
                <w:lang w:val="en-US" w:eastAsia="zh-CN" w:bidi="ar"/>
              </w:rPr>
              <w:t>较好，预算与实际需要仍存在偏差。</w:t>
            </w:r>
          </w:p>
        </w:tc>
      </w:tr>
      <w:tr w14:paraId="6561D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9853EE">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948D9C">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4B13D7D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资金分配</w:t>
            </w:r>
          </w:p>
          <w:p w14:paraId="2B43D1C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合理性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42882088">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①预算资金分配依据充分，得1分； </w:t>
            </w:r>
          </w:p>
          <w:p w14:paraId="3F55EC05">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②资金分配额度合理，与项目单位或地方实际相适应，得1分。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59DB16B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A8C2B43">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1.8</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3E293EAD">
            <w:pPr>
              <w:jc w:val="left"/>
              <w:rPr>
                <w:rFonts w:hint="default"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年度分配较合理，但总体不足。</w:t>
            </w:r>
          </w:p>
        </w:tc>
      </w:tr>
      <w:tr w14:paraId="72860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493" w:type="dxa"/>
            <w:vMerge w:val="restart"/>
            <w:tcBorders>
              <w:top w:val="single" w:color="000000" w:sz="4" w:space="0"/>
              <w:left w:val="single" w:color="000000" w:sz="4" w:space="0"/>
              <w:bottom w:val="single" w:color="000000" w:sz="4" w:space="0"/>
              <w:right w:val="single" w:color="000000" w:sz="4" w:space="0"/>
            </w:tcBorders>
            <w:noWrap w:val="0"/>
            <w:vAlign w:val="center"/>
          </w:tcPr>
          <w:p w14:paraId="5C4CEFD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过程</w:t>
            </w:r>
          </w:p>
          <w:p w14:paraId="7AB310A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w:t>
            </w:r>
          </w:p>
          <w:p w14:paraId="2053EC4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15分︶</w:t>
            </w:r>
          </w:p>
        </w:tc>
        <w:tc>
          <w:tcPr>
            <w:tcW w:w="1278" w:type="dxa"/>
            <w:vMerge w:val="restart"/>
            <w:tcBorders>
              <w:top w:val="nil"/>
              <w:left w:val="single" w:color="000000" w:sz="4" w:space="0"/>
              <w:bottom w:val="single" w:color="000000" w:sz="4" w:space="0"/>
              <w:right w:val="single" w:color="000000" w:sz="4" w:space="0"/>
            </w:tcBorders>
            <w:noWrap w:val="0"/>
            <w:vAlign w:val="top"/>
          </w:tcPr>
          <w:p w14:paraId="0CFB7993">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p>
          <w:p w14:paraId="7444CEF0">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                 资金</w:t>
            </w:r>
          </w:p>
          <w:p w14:paraId="7A6AA4E6">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管理</w:t>
            </w:r>
          </w:p>
          <w:p w14:paraId="6584CD7A">
            <w:pPr>
              <w:keepNext w:val="0"/>
              <w:keepLines w:val="0"/>
              <w:widowControl/>
              <w:suppressLineNumbers w:val="0"/>
              <w:jc w:val="center"/>
              <w:textAlignment w:val="top"/>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3B25E55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资金到位率</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2C405FF7">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资金到位率a=(实际到位资金/预算资金)×100% </w:t>
            </w:r>
          </w:p>
          <w:p w14:paraId="68CD3DD7">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得分=资金到位率a×指标分值，且a＜60%不得分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260CE66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3A6AF3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40BD165A">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p>
        </w:tc>
      </w:tr>
      <w:tr w14:paraId="68BF4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9"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6405EF">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nil"/>
              <w:left w:val="single" w:color="000000" w:sz="4" w:space="0"/>
              <w:bottom w:val="single" w:color="000000" w:sz="4" w:space="0"/>
              <w:right w:val="single" w:color="000000" w:sz="4" w:space="0"/>
            </w:tcBorders>
            <w:noWrap w:val="0"/>
            <w:vAlign w:val="top"/>
          </w:tcPr>
          <w:p w14:paraId="2F02B6E8">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46D5585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预算执行率</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252C0A12">
            <w:pPr>
              <w:keepNext w:val="0"/>
              <w:keepLines w:val="0"/>
              <w:widowControl/>
              <w:suppressLineNumbers w:val="0"/>
              <w:jc w:val="both"/>
              <w:textAlignment w:val="center"/>
              <w:rPr>
                <w:rFonts w:hint="eastAsia" w:ascii="仿宋_GB2312" w:hAnsi="仿宋_GB2312" w:eastAsia="仿宋_GB2312" w:cs="仿宋_GB2312"/>
                <w:i w:val="0"/>
                <w:iCs w:val="0"/>
                <w:color w:val="FFFFFF"/>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预算执行率a=实际支出资金/实际到位资金×100%</w:t>
            </w:r>
            <w:r>
              <w:rPr>
                <w:rFonts w:hint="eastAsia" w:ascii="仿宋_GB2312" w:hAnsi="仿宋_GB2312" w:eastAsia="仿宋_GB2312" w:cs="仿宋_GB2312"/>
                <w:i w:val="0"/>
                <w:iCs w:val="0"/>
                <w:color w:val="FFFFFF"/>
                <w:kern w:val="0"/>
                <w:sz w:val="21"/>
                <w:szCs w:val="21"/>
                <w:u w:val="none"/>
                <w:lang w:val="en-US" w:eastAsia="zh-CN" w:bidi="ar"/>
              </w:rPr>
              <w:t xml:space="preserve"> </w:t>
            </w:r>
          </w:p>
          <w:p w14:paraId="508BE68F">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得分=预算执行率a×指标分值，且a＜60%不得分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11110E8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618844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6FBA66CD">
            <w:pPr>
              <w:jc w:val="left"/>
              <w:rPr>
                <w:rFonts w:hint="eastAsia" w:ascii="仿宋_GB2312" w:hAnsi="仿宋_GB2312" w:eastAsia="仿宋_GB2312" w:cs="仿宋_GB2312"/>
                <w:b w:val="0"/>
                <w:bCs w:val="0"/>
                <w:i w:val="0"/>
                <w:iCs w:val="0"/>
                <w:color w:val="000000"/>
                <w:sz w:val="21"/>
                <w:szCs w:val="21"/>
                <w:highlight w:val="none"/>
                <w:u w:val="none"/>
              </w:rPr>
            </w:pPr>
          </w:p>
        </w:tc>
      </w:tr>
      <w:tr w14:paraId="1A992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B091D5">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nil"/>
              <w:left w:val="single" w:color="000000" w:sz="4" w:space="0"/>
              <w:bottom w:val="single" w:color="000000" w:sz="4" w:space="0"/>
              <w:right w:val="single" w:color="000000" w:sz="4" w:space="0"/>
            </w:tcBorders>
            <w:noWrap w:val="0"/>
            <w:vAlign w:val="top"/>
          </w:tcPr>
          <w:p w14:paraId="300809B9">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582FBE7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资金使用  </w:t>
            </w:r>
          </w:p>
          <w:p w14:paraId="22BFFBF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合规性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1EB1C47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①符合国家财经法规和财务管理制度以及有关专项资金管理办法，得0.5分；                                                   </w:t>
            </w:r>
          </w:p>
          <w:p w14:paraId="1381A0B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②资金的拨付有完整的审批程序和手续，得1分； </w:t>
            </w:r>
          </w:p>
          <w:p w14:paraId="7C823EA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③符合项目预算批复或合同、以及专项资金管理办法的用途，得1分；                     ④按时拨付、使用资金，得0.5分；                              </w:t>
            </w:r>
          </w:p>
          <w:p w14:paraId="7F5B6B70">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⑤存在截留、挤占、挪用、虚列支出等情况，扣3分。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5A19D0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32B648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442FACD9">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p>
        </w:tc>
      </w:tr>
      <w:tr w14:paraId="0AF8A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A90A9F">
            <w:pPr>
              <w:jc w:val="center"/>
              <w:rPr>
                <w:rFonts w:hint="eastAsia" w:ascii="仿宋_GB2312" w:hAnsi="仿宋_GB2312" w:eastAsia="仿宋_GB2312" w:cs="仿宋_GB2312"/>
                <w:i w:val="0"/>
                <w:iCs w:val="0"/>
                <w:color w:val="000000"/>
                <w:sz w:val="21"/>
                <w:szCs w:val="21"/>
                <w:u w:val="none"/>
              </w:rPr>
            </w:pP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55C99BB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组织</w:t>
            </w:r>
          </w:p>
          <w:p w14:paraId="0E06A3C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实施</w:t>
            </w:r>
          </w:p>
          <w:p w14:paraId="7160F90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6分</w:t>
            </w:r>
          </w:p>
        </w:tc>
        <w:tc>
          <w:tcPr>
            <w:tcW w:w="1339" w:type="dxa"/>
            <w:tcBorders>
              <w:top w:val="single" w:color="000000" w:sz="4" w:space="0"/>
              <w:left w:val="single" w:color="000000" w:sz="4" w:space="0"/>
              <w:bottom w:val="single" w:color="auto" w:sz="4" w:space="0"/>
              <w:right w:val="single" w:color="000000" w:sz="4" w:space="0"/>
            </w:tcBorders>
            <w:noWrap w:val="0"/>
            <w:vAlign w:val="center"/>
          </w:tcPr>
          <w:p w14:paraId="7696F11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管理制度  </w:t>
            </w:r>
          </w:p>
          <w:p w14:paraId="11456CA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健全性</w:t>
            </w:r>
          </w:p>
        </w:tc>
        <w:tc>
          <w:tcPr>
            <w:tcW w:w="7592" w:type="dxa"/>
            <w:tcBorders>
              <w:top w:val="single" w:color="000000" w:sz="4" w:space="0"/>
              <w:left w:val="single" w:color="000000" w:sz="4" w:space="0"/>
              <w:bottom w:val="single" w:color="auto" w:sz="4" w:space="0"/>
              <w:right w:val="single" w:color="000000" w:sz="4" w:space="0"/>
            </w:tcBorders>
            <w:noWrap w:val="0"/>
            <w:vAlign w:val="center"/>
          </w:tcPr>
          <w:p w14:paraId="46D1D67A">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①已制定或具有相应的财务和业务等各项管理制度，得1分；</w:t>
            </w:r>
          </w:p>
          <w:p w14:paraId="374C8D60">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②财务和业务等各项管理制度合法、合规、完整，得1分；</w:t>
            </w:r>
          </w:p>
          <w:p w14:paraId="5240094A">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③项目招投标工作规范,得1分。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1AE61D3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1B47E9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2.4</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7A1EE889">
            <w:pPr>
              <w:jc w:val="left"/>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制度不健全</w:t>
            </w:r>
          </w:p>
        </w:tc>
      </w:tr>
      <w:tr w14:paraId="515E8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FDA023">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auto" w:sz="4" w:space="0"/>
            </w:tcBorders>
            <w:noWrap w:val="0"/>
            <w:vAlign w:val="center"/>
          </w:tcPr>
          <w:p w14:paraId="54CB9EB8">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auto" w:sz="4" w:space="0"/>
              <w:left w:val="single" w:color="auto" w:sz="4" w:space="0"/>
              <w:bottom w:val="single" w:color="auto" w:sz="4" w:space="0"/>
              <w:right w:val="single" w:color="auto" w:sz="4" w:space="0"/>
            </w:tcBorders>
            <w:noWrap w:val="0"/>
            <w:vAlign w:val="center"/>
          </w:tcPr>
          <w:p w14:paraId="5AB9B70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制度执行  </w:t>
            </w:r>
          </w:p>
          <w:p w14:paraId="5648EEF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有效性</w:t>
            </w:r>
          </w:p>
        </w:tc>
        <w:tc>
          <w:tcPr>
            <w:tcW w:w="7592" w:type="dxa"/>
            <w:tcBorders>
              <w:top w:val="single" w:color="auto" w:sz="4" w:space="0"/>
              <w:left w:val="single" w:color="auto" w:sz="4" w:space="0"/>
              <w:bottom w:val="single" w:color="auto" w:sz="4" w:space="0"/>
              <w:right w:val="single" w:color="auto" w:sz="4" w:space="0"/>
            </w:tcBorders>
            <w:noWrap w:val="0"/>
            <w:vAlign w:val="center"/>
          </w:tcPr>
          <w:p w14:paraId="6B1C9E4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①能遵守相关法律法规和相关管理规定，考核记录规范、完整，得0.5分；</w:t>
            </w:r>
          </w:p>
          <w:p w14:paraId="3EAB359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②项目调整及支出调整手续完备，得0.5分；</w:t>
            </w:r>
          </w:p>
          <w:p w14:paraId="1D07E6F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③项目实施单位人员条件、设备条件等是否落实到位，得0.5分；</w:t>
            </w:r>
          </w:p>
          <w:p w14:paraId="0773268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④项目招标资料、合同书、验收或检查报告等资料齐全并及时归档，0.5分；</w:t>
            </w:r>
          </w:p>
          <w:p w14:paraId="5329C78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⑤项目总结（自评）及信息采集报送工作认真、内容完整、详实，得1分。       </w:t>
            </w:r>
          </w:p>
        </w:tc>
        <w:tc>
          <w:tcPr>
            <w:tcW w:w="740" w:type="dxa"/>
            <w:tcBorders>
              <w:top w:val="single" w:color="000000" w:sz="4" w:space="0"/>
              <w:left w:val="single" w:color="auto" w:sz="4" w:space="0"/>
              <w:bottom w:val="single" w:color="000000" w:sz="4" w:space="0"/>
              <w:right w:val="single" w:color="000000" w:sz="4" w:space="0"/>
            </w:tcBorders>
            <w:noWrap w:val="0"/>
            <w:vAlign w:val="center"/>
          </w:tcPr>
          <w:p w14:paraId="651F7C9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69759F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1.5</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376722A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sz w:val="21"/>
                <w:szCs w:val="21"/>
                <w:highlight w:val="none"/>
                <w:u w:val="none"/>
                <w:lang w:val="en-US" w:eastAsia="zh-CN"/>
              </w:rPr>
              <w:t>一是项目相关管理不到位，主要是制度检查、考核等记录资料不够完整。二是项目绩效管理工作不够到位，项目总结、自评等工作不够规范、不够详实。</w:t>
            </w:r>
          </w:p>
        </w:tc>
      </w:tr>
      <w:tr w14:paraId="4F379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93" w:type="dxa"/>
            <w:vMerge w:val="restart"/>
            <w:tcBorders>
              <w:top w:val="single" w:color="000000" w:sz="4" w:space="0"/>
              <w:left w:val="single" w:color="000000" w:sz="4" w:space="0"/>
              <w:bottom w:val="single" w:color="000000" w:sz="4" w:space="0"/>
              <w:right w:val="nil"/>
            </w:tcBorders>
            <w:noWrap w:val="0"/>
            <w:vAlign w:val="center"/>
          </w:tcPr>
          <w:p w14:paraId="13DFDDE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成本︵</w:t>
            </w:r>
          </w:p>
          <w:p w14:paraId="2E23610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13分</w:t>
            </w:r>
          </w:p>
          <w:p w14:paraId="1FC3F52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157E2FF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经济</w:t>
            </w:r>
          </w:p>
          <w:p w14:paraId="00F9373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成本</w:t>
            </w:r>
          </w:p>
          <w:p w14:paraId="344C062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 5分</w:t>
            </w:r>
          </w:p>
        </w:tc>
        <w:tc>
          <w:tcPr>
            <w:tcW w:w="1339" w:type="dxa"/>
            <w:tcBorders>
              <w:top w:val="single" w:color="auto" w:sz="4" w:space="0"/>
              <w:left w:val="single" w:color="000000" w:sz="4" w:space="0"/>
              <w:bottom w:val="single" w:color="000000" w:sz="4" w:space="0"/>
              <w:right w:val="single" w:color="000000" w:sz="4" w:space="0"/>
            </w:tcBorders>
            <w:noWrap w:val="0"/>
            <w:vAlign w:val="center"/>
          </w:tcPr>
          <w:p w14:paraId="7EF3364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单位成本或分项成本节约率</w:t>
            </w:r>
          </w:p>
        </w:tc>
        <w:tc>
          <w:tcPr>
            <w:tcW w:w="7592" w:type="dxa"/>
            <w:tcBorders>
              <w:top w:val="single" w:color="auto" w:sz="4" w:space="0"/>
              <w:left w:val="single" w:color="000000" w:sz="4" w:space="0"/>
              <w:bottom w:val="single" w:color="000000" w:sz="4" w:space="0"/>
              <w:right w:val="single" w:color="000000" w:sz="4" w:space="0"/>
            </w:tcBorders>
            <w:noWrap w:val="0"/>
            <w:vAlign w:val="center"/>
          </w:tcPr>
          <w:p w14:paraId="327A8D46">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成本节约率=[（计划成本-实际成本）/计划成本]×100%。</w:t>
            </w:r>
          </w:p>
          <w:p w14:paraId="45665C69">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评分标准：成本节约率＜0不得分；工程建设类等相关项目成本节约率＝0按60%赋基础分（60%×指标分值）；成本节约率≥5%得满分；0%-5%的之间按比重赋分，得分=（60%×指标分值）+（成本节约率×8×指标分值）；其他类项目成本节约率≥0即可得满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2745D11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B28937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5</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4870056A">
            <w:pPr>
              <w:jc w:val="left"/>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2BB05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trPr>
        <w:tc>
          <w:tcPr>
            <w:tcW w:w="493" w:type="dxa"/>
            <w:vMerge w:val="continue"/>
            <w:tcBorders>
              <w:top w:val="single" w:color="000000" w:sz="4" w:space="0"/>
              <w:left w:val="single" w:color="000000" w:sz="4" w:space="0"/>
              <w:bottom w:val="single" w:color="000000" w:sz="4" w:space="0"/>
              <w:right w:val="nil"/>
            </w:tcBorders>
            <w:noWrap w:val="0"/>
            <w:vAlign w:val="center"/>
          </w:tcPr>
          <w:p w14:paraId="5381909F">
            <w:pPr>
              <w:jc w:val="center"/>
              <w:rPr>
                <w:rFonts w:hint="eastAsia" w:ascii="仿宋_GB2312" w:hAnsi="仿宋_GB2312" w:eastAsia="仿宋_GB2312" w:cs="仿宋_GB2312"/>
                <w:i w:val="0"/>
                <w:iCs w:val="0"/>
                <w:color w:val="000000"/>
                <w:sz w:val="21"/>
                <w:szCs w:val="21"/>
                <w:u w:val="none"/>
              </w:rPr>
            </w:pPr>
          </w:p>
        </w:tc>
        <w:tc>
          <w:tcPr>
            <w:tcW w:w="1278" w:type="dxa"/>
            <w:tcBorders>
              <w:top w:val="nil"/>
              <w:left w:val="single" w:color="000000" w:sz="4" w:space="0"/>
              <w:bottom w:val="single" w:color="000000" w:sz="4" w:space="0"/>
              <w:right w:val="single" w:color="000000" w:sz="4" w:space="0"/>
            </w:tcBorders>
            <w:noWrap w:val="0"/>
            <w:vAlign w:val="center"/>
          </w:tcPr>
          <w:p w14:paraId="51FC17E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社会</w:t>
            </w:r>
          </w:p>
          <w:p w14:paraId="447081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成本</w:t>
            </w:r>
          </w:p>
          <w:p w14:paraId="49BA66B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 4分</w:t>
            </w:r>
          </w:p>
        </w:tc>
        <w:tc>
          <w:tcPr>
            <w:tcW w:w="1339" w:type="dxa"/>
            <w:tcBorders>
              <w:top w:val="single" w:color="000000" w:sz="4" w:space="0"/>
              <w:left w:val="single" w:color="000000" w:sz="4" w:space="0"/>
              <w:right w:val="single" w:color="000000" w:sz="4" w:space="0"/>
            </w:tcBorders>
            <w:noWrap w:val="0"/>
            <w:vAlign w:val="center"/>
          </w:tcPr>
          <w:p w14:paraId="18339A7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社会发展</w:t>
            </w:r>
          </w:p>
          <w:p w14:paraId="7C676C7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负作用</w:t>
            </w:r>
          </w:p>
        </w:tc>
        <w:tc>
          <w:tcPr>
            <w:tcW w:w="7592" w:type="dxa"/>
            <w:tcBorders>
              <w:top w:val="nil"/>
              <w:left w:val="single" w:color="000000" w:sz="4" w:space="0"/>
              <w:right w:val="single" w:color="000000" w:sz="4" w:space="0"/>
            </w:tcBorders>
            <w:noWrap w:val="0"/>
            <w:vAlign w:val="center"/>
          </w:tcPr>
          <w:p w14:paraId="3FEB629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项目建设对社会发展的负作用</w:t>
            </w:r>
          </w:p>
          <w:p w14:paraId="6276CA8A">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因本项目无法量化，按评判等级赋分，分为基本达成预期控制目标、部分实现预期控制目标、实现预期控制目标程度较低三个档次，并分别按照该指标对应分值区间100%-80%（含）、80%-60%（含）、60%-0%合理确定分值。</w:t>
            </w:r>
          </w:p>
        </w:tc>
        <w:tc>
          <w:tcPr>
            <w:tcW w:w="740" w:type="dxa"/>
            <w:tcBorders>
              <w:top w:val="single" w:color="000000" w:sz="4" w:space="0"/>
              <w:left w:val="single" w:color="000000" w:sz="4" w:space="0"/>
              <w:right w:val="single" w:color="000000" w:sz="4" w:space="0"/>
            </w:tcBorders>
            <w:noWrap w:val="0"/>
            <w:vAlign w:val="center"/>
          </w:tcPr>
          <w:p w14:paraId="3E6E0ED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777" w:type="dxa"/>
            <w:tcBorders>
              <w:top w:val="single" w:color="000000" w:sz="4" w:space="0"/>
              <w:left w:val="single" w:color="000000" w:sz="4" w:space="0"/>
              <w:right w:val="single" w:color="000000" w:sz="4" w:space="0"/>
            </w:tcBorders>
            <w:noWrap/>
            <w:vAlign w:val="center"/>
          </w:tcPr>
          <w:p w14:paraId="0AC7A58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08F9A831">
            <w:pPr>
              <w:jc w:val="left"/>
              <w:rPr>
                <w:rFonts w:hint="eastAsia" w:ascii="仿宋_GB2312" w:hAnsi="仿宋_GB2312" w:eastAsia="仿宋_GB2312" w:cs="仿宋_GB2312"/>
                <w:b w:val="0"/>
                <w:bCs w:val="0"/>
                <w:i w:val="0"/>
                <w:iCs w:val="0"/>
                <w:color w:val="000000"/>
                <w:sz w:val="21"/>
                <w:szCs w:val="21"/>
                <w:highlight w:val="none"/>
                <w:u w:val="none"/>
              </w:rPr>
            </w:pPr>
          </w:p>
        </w:tc>
      </w:tr>
      <w:tr w14:paraId="2C1E2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3" w:type="dxa"/>
            <w:vMerge w:val="continue"/>
            <w:tcBorders>
              <w:top w:val="single" w:color="000000" w:sz="4" w:space="0"/>
              <w:left w:val="single" w:color="000000" w:sz="4" w:space="0"/>
              <w:bottom w:val="single" w:color="000000" w:sz="4" w:space="0"/>
              <w:right w:val="nil"/>
            </w:tcBorders>
            <w:noWrap w:val="0"/>
            <w:vAlign w:val="center"/>
          </w:tcPr>
          <w:p w14:paraId="1A2AA649">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2D68A5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生态环境成本</w:t>
            </w:r>
          </w:p>
          <w:p w14:paraId="62853F1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E71B5C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自然生态环境负作用</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4788313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项目建设对生态环境的负作用</w:t>
            </w:r>
          </w:p>
          <w:p w14:paraId="4995127D">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因本项目无法量化，按评判等级赋分，分为基本达成目标、部分实现目标、实现目标程度较低三个档次，并分别按照该指标对应分值区间100%-80%（含）、80%-60%（含）、60%-0%合理确定分值。</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208F674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0E9401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30999C54">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p>
        </w:tc>
      </w:tr>
      <w:tr w14:paraId="49E98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6" w:hRule="atLeast"/>
        </w:trPr>
        <w:tc>
          <w:tcPr>
            <w:tcW w:w="493" w:type="dxa"/>
            <w:vMerge w:val="restart"/>
            <w:tcBorders>
              <w:top w:val="single" w:color="000000" w:sz="4" w:space="0"/>
              <w:left w:val="single" w:color="000000" w:sz="4" w:space="0"/>
              <w:bottom w:val="single" w:color="000000" w:sz="4" w:space="0"/>
              <w:right w:val="single" w:color="000000" w:sz="4" w:space="0"/>
            </w:tcBorders>
            <w:noWrap w:val="0"/>
            <w:vAlign w:val="center"/>
          </w:tcPr>
          <w:p w14:paraId="6AE333A9">
            <w:pPr>
              <w:keepNext w:val="0"/>
              <w:keepLines w:val="0"/>
              <w:widowControl/>
              <w:suppressLineNumbers w:val="0"/>
              <w:spacing w:after="180" w:afterAutospacing="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p w14:paraId="7D066CB7">
            <w:pPr>
              <w:pStyle w:val="2"/>
              <w:rPr>
                <w:rFonts w:hint="eastAsia" w:ascii="仿宋_GB2312" w:hAnsi="仿宋_GB2312" w:eastAsia="仿宋_GB2312" w:cs="仿宋_GB2312"/>
                <w:sz w:val="21"/>
                <w:szCs w:val="21"/>
                <w:lang w:val="en-US" w:eastAsia="zh-CN"/>
              </w:rPr>
            </w:pPr>
          </w:p>
          <w:p w14:paraId="142270EE">
            <w:pPr>
              <w:keepNext w:val="0"/>
              <w:keepLines w:val="0"/>
              <w:widowControl/>
              <w:suppressLineNumbers w:val="0"/>
              <w:spacing w:after="180" w:afterAutospacing="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产出︵</w:t>
            </w:r>
          </w:p>
          <w:p w14:paraId="11C57F19">
            <w:pPr>
              <w:keepNext w:val="0"/>
              <w:keepLines w:val="0"/>
              <w:widowControl/>
              <w:suppressLineNumbers w:val="0"/>
              <w:spacing w:after="180" w:afterAutospacing="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25分︶</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71C1215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产出</w:t>
            </w:r>
          </w:p>
          <w:p w14:paraId="2EB0890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数量</w:t>
            </w:r>
          </w:p>
          <w:p w14:paraId="31D6835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7C72A7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项目数量目标完成情况</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790C66D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计算公式：实际完成率=（实际产出数/计划产出数）×100%。</w:t>
            </w:r>
          </w:p>
          <w:p w14:paraId="2DAA672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评分标准：实际完成率小于60%不得分；大于等于60%的按超过的比重赋分，</w:t>
            </w:r>
          </w:p>
          <w:p w14:paraId="1AD2CF3C">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得分=（实际完成率-60%）/（1-60%）×指标分值。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1E578E4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3747C8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9</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7C685BD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sz w:val="21"/>
                <w:szCs w:val="21"/>
                <w:highlight w:val="none"/>
                <w:u w:val="none"/>
                <w:lang w:val="en-US" w:eastAsia="zh-CN"/>
              </w:rPr>
              <w:t>项目包含地下隐蔽工程，且未进行竣工验收，</w:t>
            </w:r>
            <w:r>
              <w:rPr>
                <w:rFonts w:hint="eastAsia" w:ascii="仿宋_GB2312" w:hAnsi="仿宋_GB2312" w:eastAsia="仿宋_GB2312" w:cs="仿宋_GB2312"/>
                <w:i w:val="0"/>
                <w:iCs w:val="0"/>
                <w:color w:val="000000"/>
                <w:kern w:val="0"/>
                <w:sz w:val="21"/>
                <w:szCs w:val="21"/>
                <w:highlight w:val="none"/>
                <w:u w:val="none"/>
                <w:lang w:val="en-US" w:eastAsia="zh-CN" w:bidi="ar"/>
              </w:rPr>
              <w:t>任务完成情况不明确。</w:t>
            </w:r>
          </w:p>
        </w:tc>
      </w:tr>
      <w:tr w14:paraId="276E3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2FA3AA">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56EF33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产出</w:t>
            </w:r>
          </w:p>
          <w:p w14:paraId="572E62C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质量</w:t>
            </w:r>
          </w:p>
          <w:p w14:paraId="18DCCF7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0558DB5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项目质量目标完成情况</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476C91AA">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计算公式：质量达标率=（质量达标产出数/实际产出数）×100%。</w:t>
            </w:r>
          </w:p>
          <w:p w14:paraId="5CEFD7D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评分标准：质量达标率小于60%不得分；大于等于60%的按超过的比重赋分，</w:t>
            </w:r>
          </w:p>
          <w:p w14:paraId="1A51D215">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得分=（质量达标率-60%）/（1-60%）×指标分值。                                                                 （项目验收质量合格情况、现场查验质量情况及其它相关资料）。</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70468B38">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D41061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9</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1B096620">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项目包含地下隐蔽工程，且未进行竣工验收，质量存在不确定性。</w:t>
            </w:r>
          </w:p>
        </w:tc>
      </w:tr>
      <w:tr w14:paraId="46C64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493" w:type="dxa"/>
            <w:vMerge w:val="continue"/>
            <w:tcBorders>
              <w:top w:val="single" w:color="000000" w:sz="4" w:space="0"/>
              <w:left w:val="single" w:color="000000" w:sz="4" w:space="0"/>
              <w:bottom w:val="single" w:color="auto" w:sz="4" w:space="0"/>
              <w:right w:val="single" w:color="000000" w:sz="4" w:space="0"/>
            </w:tcBorders>
            <w:noWrap w:val="0"/>
            <w:vAlign w:val="center"/>
          </w:tcPr>
          <w:p w14:paraId="1B25146A">
            <w:pPr>
              <w:jc w:val="center"/>
              <w:rPr>
                <w:rFonts w:hint="eastAsia" w:ascii="仿宋_GB2312" w:hAnsi="仿宋_GB2312" w:eastAsia="仿宋_GB2312" w:cs="仿宋_GB2312"/>
                <w:i w:val="0"/>
                <w:iCs w:val="0"/>
                <w:color w:val="000000"/>
                <w:sz w:val="21"/>
                <w:szCs w:val="21"/>
                <w:u w:val="none"/>
              </w:rPr>
            </w:pPr>
          </w:p>
        </w:tc>
        <w:tc>
          <w:tcPr>
            <w:tcW w:w="1278" w:type="dxa"/>
            <w:tcBorders>
              <w:top w:val="nil"/>
              <w:left w:val="single" w:color="000000" w:sz="4" w:space="0"/>
              <w:bottom w:val="single" w:color="auto" w:sz="4" w:space="0"/>
              <w:right w:val="single" w:color="000000" w:sz="4" w:space="0"/>
            </w:tcBorders>
            <w:noWrap w:val="0"/>
            <w:vAlign w:val="center"/>
          </w:tcPr>
          <w:p w14:paraId="13F6A8B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产出</w:t>
            </w:r>
          </w:p>
          <w:p w14:paraId="5779AB5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时效</w:t>
            </w:r>
          </w:p>
          <w:p w14:paraId="4ADD0A3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5分</w:t>
            </w:r>
          </w:p>
        </w:tc>
        <w:tc>
          <w:tcPr>
            <w:tcW w:w="1339" w:type="dxa"/>
            <w:tcBorders>
              <w:top w:val="nil"/>
              <w:left w:val="single" w:color="000000" w:sz="4" w:space="0"/>
              <w:bottom w:val="single" w:color="auto" w:sz="4" w:space="0"/>
              <w:right w:val="single" w:color="000000" w:sz="4" w:space="0"/>
            </w:tcBorders>
            <w:noWrap w:val="0"/>
            <w:vAlign w:val="center"/>
          </w:tcPr>
          <w:p w14:paraId="25D0001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项目按期完成情况</w:t>
            </w:r>
          </w:p>
        </w:tc>
        <w:tc>
          <w:tcPr>
            <w:tcW w:w="7592" w:type="dxa"/>
            <w:tcBorders>
              <w:top w:val="single" w:color="000000" w:sz="4" w:space="0"/>
              <w:left w:val="single" w:color="000000" w:sz="4" w:space="0"/>
              <w:bottom w:val="single" w:color="auto" w:sz="4" w:space="0"/>
              <w:right w:val="single" w:color="000000" w:sz="4" w:space="0"/>
            </w:tcBorders>
            <w:noWrap w:val="0"/>
            <w:vAlign w:val="center"/>
          </w:tcPr>
          <w:p w14:paraId="2F87266B">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全部按期完成目标得5分；部分按期实现目标得4-2分（含）；按期实现目标程度较低得2-0分。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AB45B91">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BE0637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4.5</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2C2227A6">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sz w:val="21"/>
                <w:szCs w:val="21"/>
                <w:highlight w:val="none"/>
                <w:u w:val="none"/>
                <w:lang w:val="en-US" w:eastAsia="zh-CN"/>
              </w:rPr>
              <w:t>项目未能在计划期内完工，同时验收、审计工作进度缓慢。</w:t>
            </w:r>
          </w:p>
        </w:tc>
      </w:tr>
      <w:tr w14:paraId="4F437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493" w:type="dxa"/>
            <w:vMerge w:val="restart"/>
            <w:tcBorders>
              <w:top w:val="single" w:color="auto" w:sz="4" w:space="0"/>
              <w:left w:val="single" w:color="auto" w:sz="4" w:space="0"/>
              <w:bottom w:val="single" w:color="auto" w:sz="4" w:space="0"/>
              <w:right w:val="single" w:color="auto" w:sz="4" w:space="0"/>
            </w:tcBorders>
            <w:noWrap w:val="0"/>
            <w:vAlign w:val="center"/>
          </w:tcPr>
          <w:p w14:paraId="23EE275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效益 ︵</w:t>
            </w:r>
          </w:p>
          <w:p w14:paraId="6EA9E4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35分︶</w:t>
            </w:r>
          </w:p>
        </w:tc>
        <w:tc>
          <w:tcPr>
            <w:tcW w:w="1278" w:type="dxa"/>
            <w:tcBorders>
              <w:top w:val="single" w:color="auto" w:sz="4" w:space="0"/>
              <w:left w:val="single" w:color="auto" w:sz="4" w:space="0"/>
              <w:bottom w:val="single" w:color="auto" w:sz="4" w:space="0"/>
              <w:right w:val="single" w:color="auto" w:sz="4" w:space="0"/>
            </w:tcBorders>
            <w:noWrap w:val="0"/>
            <w:vAlign w:val="center"/>
          </w:tcPr>
          <w:p w14:paraId="2FA14F8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经济</w:t>
            </w:r>
          </w:p>
          <w:p w14:paraId="0D29DEB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效益</w:t>
            </w:r>
          </w:p>
          <w:p w14:paraId="261CFED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5分</w:t>
            </w:r>
          </w:p>
        </w:tc>
        <w:tc>
          <w:tcPr>
            <w:tcW w:w="1339" w:type="dxa"/>
            <w:tcBorders>
              <w:top w:val="single" w:color="auto" w:sz="4" w:space="0"/>
              <w:left w:val="single" w:color="auto" w:sz="4" w:space="0"/>
              <w:bottom w:val="single" w:color="auto" w:sz="4" w:space="0"/>
              <w:right w:val="single" w:color="auto" w:sz="4" w:space="0"/>
            </w:tcBorders>
            <w:noWrap w:val="0"/>
            <w:vAlign w:val="center"/>
          </w:tcPr>
          <w:p w14:paraId="3067D16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促进区域经济发展作用情况</w:t>
            </w:r>
          </w:p>
        </w:tc>
        <w:tc>
          <w:tcPr>
            <w:tcW w:w="7592" w:type="dxa"/>
            <w:tcBorders>
              <w:top w:val="single" w:color="auto" w:sz="4" w:space="0"/>
              <w:left w:val="single" w:color="auto" w:sz="4" w:space="0"/>
              <w:bottom w:val="single" w:color="auto" w:sz="4" w:space="0"/>
              <w:right w:val="single" w:color="auto" w:sz="4" w:space="0"/>
            </w:tcBorders>
            <w:noWrap w:val="0"/>
            <w:vAlign w:val="center"/>
          </w:tcPr>
          <w:p w14:paraId="2D92DF87">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间接促进区域经济发展情况。                                              因本指标无法量化，按评判等级赋分，分为实现目标、部分实现目标、实现目标程度较低三个档次，并分别按照该指标对应分值区间100%-80%（含）、80%-60%（含）、60%-0%合理确定分值。</w:t>
            </w:r>
          </w:p>
        </w:tc>
        <w:tc>
          <w:tcPr>
            <w:tcW w:w="740" w:type="dxa"/>
            <w:tcBorders>
              <w:top w:val="single" w:color="000000" w:sz="4" w:space="0"/>
              <w:left w:val="single" w:color="auto" w:sz="4" w:space="0"/>
              <w:bottom w:val="single" w:color="000000" w:sz="4" w:space="0"/>
              <w:right w:val="single" w:color="000000" w:sz="4" w:space="0"/>
            </w:tcBorders>
            <w:noWrap w:val="0"/>
            <w:vAlign w:val="center"/>
          </w:tcPr>
          <w:p w14:paraId="32FA412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color w:val="auto"/>
                <w:sz w:val="21"/>
                <w:szCs w:val="21"/>
                <w:highlight w:val="none"/>
                <w:lang w:val="en-US" w:eastAsia="zh-CN"/>
              </w:rPr>
              <w:t>5</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C6AB0D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auto"/>
                <w:kern w:val="0"/>
                <w:sz w:val="21"/>
                <w:szCs w:val="21"/>
                <w:highlight w:val="none"/>
                <w:u w:val="none"/>
                <w:lang w:val="en-US" w:eastAsia="zh-CN" w:bidi="ar"/>
              </w:rPr>
              <w:t>5</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6C47A4EE">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760FC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2529A344">
            <w:pPr>
              <w:jc w:val="center"/>
              <w:rPr>
                <w:rFonts w:hint="eastAsia" w:ascii="仿宋_GB2312" w:hAnsi="仿宋_GB2312" w:eastAsia="仿宋_GB2312" w:cs="仿宋_GB2312"/>
                <w:i w:val="0"/>
                <w:iCs w:val="0"/>
                <w:color w:val="000000"/>
                <w:sz w:val="21"/>
                <w:szCs w:val="21"/>
                <w:u w:val="none"/>
              </w:rPr>
            </w:pPr>
          </w:p>
        </w:tc>
        <w:tc>
          <w:tcPr>
            <w:tcW w:w="1278" w:type="dxa"/>
            <w:vMerge w:val="restart"/>
            <w:tcBorders>
              <w:top w:val="single" w:color="auto" w:sz="4" w:space="0"/>
              <w:left w:val="single" w:color="auto" w:sz="4" w:space="0"/>
              <w:bottom w:val="single" w:color="auto" w:sz="4" w:space="0"/>
              <w:right w:val="single" w:color="auto" w:sz="4" w:space="0"/>
            </w:tcBorders>
            <w:noWrap w:val="0"/>
            <w:vAlign w:val="center"/>
          </w:tcPr>
          <w:p w14:paraId="4F6878F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社会</w:t>
            </w:r>
          </w:p>
          <w:p w14:paraId="0D26AD1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效益</w:t>
            </w:r>
          </w:p>
          <w:p w14:paraId="485FDFC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9分</w:t>
            </w:r>
          </w:p>
        </w:tc>
        <w:tc>
          <w:tcPr>
            <w:tcW w:w="1339" w:type="dxa"/>
            <w:tcBorders>
              <w:top w:val="single" w:color="auto" w:sz="4" w:space="0"/>
              <w:left w:val="single" w:color="auto" w:sz="4" w:space="0"/>
              <w:bottom w:val="single" w:color="000000" w:sz="4" w:space="0"/>
              <w:right w:val="single" w:color="000000" w:sz="4" w:space="0"/>
            </w:tcBorders>
            <w:noWrap w:val="0"/>
            <w:vAlign w:val="center"/>
          </w:tcPr>
          <w:p w14:paraId="69AAC27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改善群众生产生活条件</w:t>
            </w:r>
          </w:p>
        </w:tc>
        <w:tc>
          <w:tcPr>
            <w:tcW w:w="7592" w:type="dxa"/>
            <w:tcBorders>
              <w:top w:val="single" w:color="auto" w:sz="4" w:space="0"/>
              <w:left w:val="single" w:color="000000" w:sz="4" w:space="0"/>
              <w:bottom w:val="single" w:color="000000" w:sz="4" w:space="0"/>
              <w:right w:val="single" w:color="000000" w:sz="4" w:space="0"/>
            </w:tcBorders>
            <w:noWrap w:val="0"/>
            <w:vAlign w:val="center"/>
          </w:tcPr>
          <w:p w14:paraId="745165E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改善群众生产生活条件</w:t>
            </w:r>
            <w:r>
              <w:rPr>
                <w:rFonts w:hint="eastAsia" w:ascii="仿宋_GB2312" w:hAnsi="仿宋_GB2312" w:eastAsia="仿宋_GB2312" w:cs="仿宋_GB2312"/>
                <w:color w:val="auto"/>
                <w:kern w:val="2"/>
                <w:sz w:val="21"/>
                <w:szCs w:val="21"/>
                <w:highlight w:val="none"/>
                <w:vertAlign w:val="baseline"/>
                <w:lang w:val="en-US" w:eastAsia="zh-CN" w:bidi="ar-SA"/>
              </w:rPr>
              <w:t>情况</w:t>
            </w:r>
            <w:r>
              <w:rPr>
                <w:rFonts w:hint="eastAsia" w:ascii="仿宋_GB2312" w:hAnsi="仿宋_GB2312" w:eastAsia="仿宋_GB2312" w:cs="仿宋_GB2312"/>
                <w:i w:val="0"/>
                <w:iCs w:val="0"/>
                <w:color w:val="000000"/>
                <w:kern w:val="0"/>
                <w:sz w:val="21"/>
                <w:szCs w:val="21"/>
                <w:u w:val="none"/>
                <w:lang w:val="en-US" w:eastAsia="zh-CN" w:bidi="ar"/>
              </w:rPr>
              <w:t>，3分。                                                                       注：按评判等级赋分，分效果非常显著、显著、一般三个档次，并分别按照该指标对应分值区间100%-80%（含）、80%-60%（含）、60%-0%合理确定分值。</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711A695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14:paraId="326EC05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auto"/>
                <w:kern w:val="0"/>
                <w:sz w:val="21"/>
                <w:szCs w:val="21"/>
                <w:highlight w:val="none"/>
                <w:u w:val="none"/>
                <w:lang w:val="en-US" w:eastAsia="zh-CN" w:bidi="ar"/>
              </w:rPr>
              <w:t>3</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08A57CBA">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32165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5611A8F2">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154854ED">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auto" w:sz="4" w:space="0"/>
              <w:bottom w:val="single" w:color="000000" w:sz="4" w:space="0"/>
              <w:right w:val="single" w:color="000000" w:sz="4" w:space="0"/>
            </w:tcBorders>
            <w:noWrap w:val="0"/>
            <w:vAlign w:val="center"/>
          </w:tcPr>
          <w:p w14:paraId="01CA3FF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改善乡镇基础设施条件，促进交通畅通效果</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0094C83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auto"/>
                <w:kern w:val="2"/>
                <w:sz w:val="21"/>
                <w:szCs w:val="21"/>
                <w:highlight w:val="none"/>
                <w:vertAlign w:val="baseline"/>
                <w:lang w:val="en-US" w:eastAsia="zh-CN" w:bidi="ar-SA"/>
              </w:rPr>
              <w:t>改善乡镇基础设施条件，促进交通畅通效果情况作用情况</w:t>
            </w:r>
            <w:r>
              <w:rPr>
                <w:rFonts w:hint="eastAsia" w:ascii="仿宋_GB2312" w:hAnsi="仿宋_GB2312" w:eastAsia="仿宋_GB2312" w:cs="仿宋_GB2312"/>
                <w:i w:val="0"/>
                <w:iCs w:val="0"/>
                <w:color w:val="000000"/>
                <w:kern w:val="0"/>
                <w:sz w:val="21"/>
                <w:szCs w:val="21"/>
                <w:u w:val="none"/>
                <w:lang w:val="en-US" w:eastAsia="zh-CN" w:bidi="ar"/>
              </w:rPr>
              <w:t>，3分。</w:t>
            </w:r>
          </w:p>
          <w:p w14:paraId="3E168D3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注：按评判等级赋分，分效果非常显著、显著、一般三个档次，并分别按照该指标对应分值区间100%-80%（含）、80%-60%（含）、60%-0%合理确定分值。</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319D863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14:paraId="6AEE96B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auto"/>
                <w:kern w:val="0"/>
                <w:sz w:val="21"/>
                <w:szCs w:val="21"/>
                <w:highlight w:val="none"/>
                <w:u w:val="none"/>
                <w:lang w:val="en-US" w:eastAsia="zh-CN" w:bidi="ar"/>
              </w:rPr>
              <w:t>3</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4B163096">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2A08F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04E8E2B1">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36C3DA4A">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auto" w:sz="4" w:space="0"/>
              <w:bottom w:val="single" w:color="000000" w:sz="4" w:space="0"/>
              <w:right w:val="single" w:color="000000" w:sz="4" w:space="0"/>
            </w:tcBorders>
            <w:noWrap w:val="0"/>
            <w:vAlign w:val="center"/>
          </w:tcPr>
          <w:p w14:paraId="69420E5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改善当地的投资环境</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36728C6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auto"/>
                <w:kern w:val="2"/>
                <w:sz w:val="21"/>
                <w:szCs w:val="21"/>
                <w:highlight w:val="none"/>
                <w:vertAlign w:val="baseline"/>
                <w:lang w:val="en-US" w:eastAsia="zh-CN" w:bidi="ar-SA"/>
              </w:rPr>
              <w:t>改善当地的投资环境作用情况</w:t>
            </w:r>
            <w:r>
              <w:rPr>
                <w:rFonts w:hint="eastAsia" w:ascii="仿宋_GB2312" w:hAnsi="仿宋_GB2312" w:eastAsia="仿宋_GB2312" w:cs="仿宋_GB2312"/>
                <w:i w:val="0"/>
                <w:iCs w:val="0"/>
                <w:color w:val="000000"/>
                <w:kern w:val="0"/>
                <w:sz w:val="21"/>
                <w:szCs w:val="21"/>
                <w:u w:val="none"/>
                <w:lang w:val="en-US" w:eastAsia="zh-CN" w:bidi="ar"/>
              </w:rPr>
              <w:t>，3分。                                                                         注：按评判等级赋分，分效果非常显著、显著、一般三个档次，并分别按照该指标对应分值区间100%-80%（含）、80%-60%（含）、60%-0%合理确定分值。</w:t>
            </w:r>
          </w:p>
        </w:tc>
        <w:tc>
          <w:tcPr>
            <w:tcW w:w="740" w:type="dxa"/>
            <w:tcBorders>
              <w:top w:val="single" w:color="000000" w:sz="4" w:space="0"/>
              <w:left w:val="single" w:color="000000" w:sz="4" w:space="0"/>
              <w:bottom w:val="single" w:color="auto" w:sz="4" w:space="0"/>
              <w:right w:val="single" w:color="000000" w:sz="4" w:space="0"/>
            </w:tcBorders>
            <w:noWrap w:val="0"/>
            <w:vAlign w:val="center"/>
          </w:tcPr>
          <w:p w14:paraId="1A5E211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3</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14:paraId="52023D51">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auto"/>
                <w:kern w:val="0"/>
                <w:sz w:val="21"/>
                <w:szCs w:val="21"/>
                <w:highlight w:val="none"/>
                <w:u w:val="none"/>
                <w:lang w:val="en-US" w:eastAsia="zh-CN" w:bidi="ar"/>
              </w:rPr>
              <w:t>3</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37A7AFC1">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27298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8"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37AC6935">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14:paraId="788716B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生态效益</w:t>
            </w:r>
          </w:p>
          <w:p w14:paraId="1C874F0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auto" w:sz="4" w:space="0"/>
              <w:bottom w:val="single" w:color="auto" w:sz="4" w:space="0"/>
              <w:right w:val="single" w:color="000000" w:sz="4" w:space="0"/>
            </w:tcBorders>
            <w:noWrap w:val="0"/>
            <w:vAlign w:val="center"/>
          </w:tcPr>
          <w:p w14:paraId="7C6C1DC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生态效益情况</w:t>
            </w:r>
          </w:p>
        </w:tc>
        <w:tc>
          <w:tcPr>
            <w:tcW w:w="7592" w:type="dxa"/>
            <w:tcBorders>
              <w:top w:val="single" w:color="000000" w:sz="4" w:space="0"/>
              <w:left w:val="single" w:color="000000" w:sz="4" w:space="0"/>
              <w:bottom w:val="single" w:color="auto" w:sz="4" w:space="0"/>
              <w:right w:val="single" w:color="auto" w:sz="4" w:space="0"/>
            </w:tcBorders>
            <w:noWrap w:val="0"/>
            <w:vAlign w:val="center"/>
          </w:tcPr>
          <w:p w14:paraId="5931893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项目生态环境保护情况。</w:t>
            </w:r>
          </w:p>
          <w:p w14:paraId="2663EE0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因本指标无法量化，按评判等级赋分，分为基本达成目标、部分实现目标、实现目标程度较低三个档次，并分别按照该指标对应分值区间100%-80%（含）、80%-60%（含）、60%-0%合理确定分值。 </w:t>
            </w:r>
          </w:p>
        </w:tc>
        <w:tc>
          <w:tcPr>
            <w:tcW w:w="7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98BAB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color w:val="000000"/>
                <w:sz w:val="21"/>
                <w:szCs w:val="21"/>
                <w:highlight w:val="none"/>
                <w:lang w:val="en-US" w:eastAsia="zh-CN"/>
              </w:rPr>
              <w:t>4</w:t>
            </w:r>
          </w:p>
        </w:tc>
        <w:tc>
          <w:tcPr>
            <w:tcW w:w="777" w:type="dxa"/>
            <w:tcBorders>
              <w:top w:val="single" w:color="000000" w:sz="4" w:space="0"/>
              <w:left w:val="single" w:color="auto" w:sz="4" w:space="0"/>
              <w:bottom w:val="single" w:color="auto" w:sz="4" w:space="0"/>
              <w:right w:val="single" w:color="000000" w:sz="4" w:space="0"/>
            </w:tcBorders>
            <w:shd w:val="clear" w:color="auto" w:fill="auto"/>
            <w:noWrap w:val="0"/>
            <w:vAlign w:val="center"/>
          </w:tcPr>
          <w:p w14:paraId="3AAE5B8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auto"/>
                <w:kern w:val="0"/>
                <w:sz w:val="21"/>
                <w:szCs w:val="21"/>
                <w:highlight w:val="none"/>
                <w:u w:val="none"/>
                <w:lang w:val="en-US" w:eastAsia="zh-CN" w:bidi="ar"/>
              </w:rPr>
              <w:t>4</w:t>
            </w:r>
          </w:p>
        </w:tc>
        <w:tc>
          <w:tcPr>
            <w:tcW w:w="2083" w:type="dxa"/>
            <w:tcBorders>
              <w:top w:val="single" w:color="000000" w:sz="4" w:space="0"/>
              <w:left w:val="single" w:color="000000" w:sz="4" w:space="0"/>
              <w:bottom w:val="single" w:color="auto" w:sz="4" w:space="0"/>
              <w:right w:val="single" w:color="000000" w:sz="4" w:space="0"/>
            </w:tcBorders>
            <w:noWrap w:val="0"/>
            <w:vAlign w:val="center"/>
          </w:tcPr>
          <w:p w14:paraId="1E26ED54">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68FB6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8"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03B88062">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14:paraId="726DCE0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可持续影响（4分）</w:t>
            </w:r>
          </w:p>
        </w:tc>
        <w:tc>
          <w:tcPr>
            <w:tcW w:w="1339" w:type="dxa"/>
            <w:tcBorders>
              <w:top w:val="single" w:color="auto" w:sz="4" w:space="0"/>
              <w:left w:val="single" w:color="auto" w:sz="4" w:space="0"/>
              <w:bottom w:val="single" w:color="auto" w:sz="4" w:space="0"/>
              <w:right w:val="single" w:color="000000" w:sz="4" w:space="0"/>
            </w:tcBorders>
            <w:noWrap w:val="0"/>
            <w:vAlign w:val="center"/>
          </w:tcPr>
          <w:p w14:paraId="4D95FB3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项目长效运管及可持续发展情况</w:t>
            </w:r>
          </w:p>
        </w:tc>
        <w:tc>
          <w:tcPr>
            <w:tcW w:w="7592" w:type="dxa"/>
            <w:tcBorders>
              <w:top w:val="single" w:color="auto" w:sz="4" w:space="0"/>
              <w:left w:val="single" w:color="000000" w:sz="4" w:space="0"/>
              <w:bottom w:val="single" w:color="auto" w:sz="4" w:space="0"/>
              <w:right w:val="single" w:color="auto" w:sz="4" w:space="0"/>
            </w:tcBorders>
            <w:noWrap w:val="0"/>
            <w:vAlign w:val="center"/>
          </w:tcPr>
          <w:p w14:paraId="16D72A2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因本指标无法量化，按评判等级赋分，分为基本达成目标、部分实现目标、实现目标程度较低三个档次，并分别按照该指标对应分值区间100%-80%（含）、80%-60%（含）、60%-0%合理确定分值。</w:t>
            </w:r>
          </w:p>
        </w:tc>
        <w:tc>
          <w:tcPr>
            <w:tcW w:w="7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BCCC6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color w:val="000000"/>
                <w:sz w:val="21"/>
                <w:szCs w:val="21"/>
                <w:highlight w:val="none"/>
                <w:lang w:val="en-US" w:eastAsia="zh-CN"/>
              </w:rPr>
              <w:t>4</w:t>
            </w:r>
          </w:p>
        </w:tc>
        <w:tc>
          <w:tcPr>
            <w:tcW w:w="777"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13120EB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auto"/>
                <w:kern w:val="0"/>
                <w:sz w:val="21"/>
                <w:szCs w:val="21"/>
                <w:highlight w:val="none"/>
                <w:u w:val="none"/>
                <w:lang w:val="en-US" w:eastAsia="zh-CN" w:bidi="ar"/>
              </w:rPr>
              <w:t>3</w:t>
            </w:r>
          </w:p>
        </w:tc>
        <w:tc>
          <w:tcPr>
            <w:tcW w:w="2083" w:type="dxa"/>
            <w:tcBorders>
              <w:top w:val="single" w:color="auto" w:sz="4" w:space="0"/>
              <w:left w:val="single" w:color="000000" w:sz="4" w:space="0"/>
              <w:bottom w:val="single" w:color="auto" w:sz="4" w:space="0"/>
              <w:right w:val="single" w:color="auto" w:sz="4" w:space="0"/>
            </w:tcBorders>
            <w:noWrap w:val="0"/>
            <w:vAlign w:val="center"/>
          </w:tcPr>
          <w:p w14:paraId="657DEE4A">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项目建成后长效管护机制尚不健全。</w:t>
            </w:r>
          </w:p>
        </w:tc>
      </w:tr>
      <w:tr w14:paraId="337E0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6D5AEE41">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14:paraId="0D3B90D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受表彰情况</w:t>
            </w:r>
          </w:p>
          <w:p w14:paraId="3D52A7A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（3分）</w:t>
            </w:r>
          </w:p>
        </w:tc>
        <w:tc>
          <w:tcPr>
            <w:tcW w:w="1339" w:type="dxa"/>
            <w:tcBorders>
              <w:top w:val="single" w:color="auto" w:sz="4" w:space="0"/>
              <w:left w:val="single" w:color="auto" w:sz="4" w:space="0"/>
              <w:bottom w:val="single" w:color="000000" w:sz="4" w:space="0"/>
              <w:right w:val="single" w:color="000000" w:sz="4" w:space="0"/>
            </w:tcBorders>
            <w:noWrap w:val="0"/>
            <w:vAlign w:val="center"/>
          </w:tcPr>
          <w:p w14:paraId="1390DDF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是否受到上级表彰</w:t>
            </w:r>
          </w:p>
        </w:tc>
        <w:tc>
          <w:tcPr>
            <w:tcW w:w="7592" w:type="dxa"/>
            <w:tcBorders>
              <w:top w:val="single" w:color="auto" w:sz="4" w:space="0"/>
              <w:left w:val="single" w:color="000000" w:sz="4" w:space="0"/>
              <w:bottom w:val="single" w:color="000000" w:sz="4" w:space="0"/>
              <w:right w:val="single" w:color="000000" w:sz="4" w:space="0"/>
            </w:tcBorders>
            <w:noWrap w:val="0"/>
            <w:vAlign w:val="center"/>
          </w:tcPr>
          <w:p w14:paraId="0CFD8BA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①项目相关工作受到国家级表彰奖励得3分；</w:t>
            </w:r>
          </w:p>
          <w:p w14:paraId="0420577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②项目相关工作受到省级表彰奖励得2分；</w:t>
            </w:r>
          </w:p>
          <w:p w14:paraId="195107C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③项目相关工作受到市级表彰奖励得1分；</w:t>
            </w:r>
          </w:p>
          <w:p w14:paraId="7284104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④未受到表彰奖励不得分。</w:t>
            </w:r>
          </w:p>
        </w:tc>
        <w:tc>
          <w:tcPr>
            <w:tcW w:w="740" w:type="dxa"/>
            <w:tcBorders>
              <w:top w:val="single" w:color="auto" w:sz="4" w:space="0"/>
              <w:left w:val="single" w:color="000000" w:sz="4" w:space="0"/>
              <w:bottom w:val="single" w:color="000000" w:sz="4" w:space="0"/>
              <w:right w:val="single" w:color="000000" w:sz="4" w:space="0"/>
            </w:tcBorders>
            <w:noWrap w:val="0"/>
            <w:vAlign w:val="center"/>
          </w:tcPr>
          <w:p w14:paraId="1552141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color w:val="auto"/>
                <w:sz w:val="21"/>
                <w:szCs w:val="21"/>
                <w:highlight w:val="none"/>
                <w:lang w:val="en-US" w:eastAsia="zh-CN"/>
              </w:rPr>
              <w:t>3</w:t>
            </w:r>
          </w:p>
        </w:tc>
        <w:tc>
          <w:tcPr>
            <w:tcW w:w="777" w:type="dxa"/>
            <w:tcBorders>
              <w:top w:val="single" w:color="auto" w:sz="4" w:space="0"/>
              <w:left w:val="single" w:color="000000" w:sz="4" w:space="0"/>
              <w:bottom w:val="single" w:color="000000" w:sz="4" w:space="0"/>
              <w:right w:val="single" w:color="000000" w:sz="4" w:space="0"/>
            </w:tcBorders>
            <w:noWrap w:val="0"/>
            <w:vAlign w:val="center"/>
          </w:tcPr>
          <w:p w14:paraId="7A59EFE3">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auto"/>
                <w:kern w:val="0"/>
                <w:sz w:val="21"/>
                <w:szCs w:val="21"/>
                <w:highlight w:val="none"/>
                <w:u w:val="none"/>
                <w:lang w:val="en-US" w:eastAsia="zh-CN" w:bidi="ar"/>
              </w:rPr>
              <w:t>0</w:t>
            </w:r>
          </w:p>
        </w:tc>
        <w:tc>
          <w:tcPr>
            <w:tcW w:w="2083" w:type="dxa"/>
            <w:tcBorders>
              <w:top w:val="single" w:color="auto" w:sz="4" w:space="0"/>
              <w:left w:val="single" w:color="000000" w:sz="4" w:space="0"/>
              <w:bottom w:val="single" w:color="000000" w:sz="4" w:space="0"/>
              <w:right w:val="single" w:color="000000" w:sz="4" w:space="0"/>
            </w:tcBorders>
            <w:noWrap w:val="0"/>
            <w:vAlign w:val="center"/>
          </w:tcPr>
          <w:p w14:paraId="135FC7AE">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相关工作未受到市级以上表彰奖励</w:t>
            </w:r>
          </w:p>
        </w:tc>
      </w:tr>
      <w:tr w14:paraId="28D14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493" w:type="dxa"/>
            <w:vMerge w:val="continue"/>
            <w:tcBorders>
              <w:top w:val="single" w:color="auto" w:sz="4" w:space="0"/>
              <w:left w:val="single" w:color="auto" w:sz="4" w:space="0"/>
              <w:bottom w:val="nil"/>
              <w:right w:val="single" w:color="000000" w:sz="4" w:space="0"/>
            </w:tcBorders>
            <w:noWrap w:val="0"/>
            <w:vAlign w:val="center"/>
          </w:tcPr>
          <w:p w14:paraId="52FA2E56">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auto" w:sz="4" w:space="0"/>
              <w:left w:val="single" w:color="000000" w:sz="4" w:space="0"/>
              <w:bottom w:val="nil"/>
              <w:right w:val="single" w:color="000000" w:sz="4" w:space="0"/>
            </w:tcBorders>
            <w:noWrap w:val="0"/>
            <w:vAlign w:val="center"/>
          </w:tcPr>
          <w:p w14:paraId="11B56FF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社会公众满意度</w:t>
            </w:r>
          </w:p>
          <w:p w14:paraId="08C08B5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10分</w:t>
            </w:r>
          </w:p>
        </w:tc>
        <w:tc>
          <w:tcPr>
            <w:tcW w:w="1339" w:type="dxa"/>
            <w:tcBorders>
              <w:top w:val="single" w:color="000000" w:sz="4" w:space="0"/>
              <w:left w:val="single" w:color="000000" w:sz="4" w:space="0"/>
              <w:bottom w:val="nil"/>
              <w:right w:val="single" w:color="000000" w:sz="4" w:space="0"/>
            </w:tcBorders>
            <w:noWrap w:val="0"/>
            <w:vAlign w:val="center"/>
          </w:tcPr>
          <w:p w14:paraId="6AD3C60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社会公众                   满意度</w:t>
            </w:r>
          </w:p>
          <w:p w14:paraId="006F15B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10分</w:t>
            </w:r>
          </w:p>
        </w:tc>
        <w:tc>
          <w:tcPr>
            <w:tcW w:w="7592" w:type="dxa"/>
            <w:tcBorders>
              <w:top w:val="single" w:color="000000" w:sz="4" w:space="0"/>
              <w:left w:val="single" w:color="000000" w:sz="4" w:space="0"/>
              <w:bottom w:val="nil"/>
              <w:right w:val="single" w:color="000000" w:sz="4" w:space="0"/>
            </w:tcBorders>
            <w:noWrap w:val="0"/>
            <w:vAlign w:val="center"/>
          </w:tcPr>
          <w:p w14:paraId="5722C9D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社会公众满意度，10分                                                                                                  注：根据对社会公众满意度调查问卷赋分，得分=社会公众满意率×指标分值</w:t>
            </w:r>
          </w:p>
        </w:tc>
        <w:tc>
          <w:tcPr>
            <w:tcW w:w="740" w:type="dxa"/>
            <w:tcBorders>
              <w:top w:val="single" w:color="000000" w:sz="4" w:space="0"/>
              <w:left w:val="single" w:color="000000" w:sz="4" w:space="0"/>
              <w:bottom w:val="nil"/>
              <w:right w:val="single" w:color="000000" w:sz="4" w:space="0"/>
            </w:tcBorders>
            <w:noWrap w:val="0"/>
            <w:vAlign w:val="center"/>
          </w:tcPr>
          <w:p w14:paraId="1C9FB44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color w:val="auto"/>
                <w:sz w:val="21"/>
                <w:szCs w:val="21"/>
                <w:highlight w:val="none"/>
                <w:lang w:val="en-US" w:eastAsia="zh-CN"/>
              </w:rPr>
              <w:t>10</w:t>
            </w:r>
          </w:p>
        </w:tc>
        <w:tc>
          <w:tcPr>
            <w:tcW w:w="777" w:type="dxa"/>
            <w:tcBorders>
              <w:top w:val="single" w:color="000000" w:sz="4" w:space="0"/>
              <w:left w:val="single" w:color="000000" w:sz="4" w:space="0"/>
              <w:bottom w:val="nil"/>
              <w:right w:val="single" w:color="000000" w:sz="4" w:space="0"/>
            </w:tcBorders>
            <w:noWrap/>
            <w:vAlign w:val="center"/>
          </w:tcPr>
          <w:p w14:paraId="35A290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auto"/>
                <w:kern w:val="0"/>
                <w:sz w:val="21"/>
                <w:szCs w:val="21"/>
                <w:highlight w:val="none"/>
                <w:u w:val="none"/>
                <w:lang w:val="en-US" w:eastAsia="zh-CN" w:bidi="ar"/>
              </w:rPr>
              <w:t>9.52</w:t>
            </w:r>
          </w:p>
        </w:tc>
        <w:tc>
          <w:tcPr>
            <w:tcW w:w="2083" w:type="dxa"/>
            <w:tcBorders>
              <w:top w:val="single" w:color="000000" w:sz="4" w:space="0"/>
              <w:left w:val="single" w:color="000000" w:sz="4" w:space="0"/>
              <w:bottom w:val="nil"/>
              <w:right w:val="single" w:color="000000" w:sz="4" w:space="0"/>
            </w:tcBorders>
            <w:noWrap w:val="0"/>
            <w:vAlign w:val="center"/>
          </w:tcPr>
          <w:p w14:paraId="185AB099">
            <w:pPr>
              <w:jc w:val="left"/>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调查问卷综合结果</w:t>
            </w:r>
          </w:p>
        </w:tc>
      </w:tr>
      <w:tr w14:paraId="3AC14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93" w:type="dxa"/>
            <w:tcBorders>
              <w:top w:val="single" w:color="000000" w:sz="4" w:space="0"/>
              <w:left w:val="single" w:color="000000" w:sz="4" w:space="0"/>
              <w:bottom w:val="single" w:color="000000" w:sz="4" w:space="0"/>
              <w:right w:val="single" w:color="000000" w:sz="4" w:space="0"/>
            </w:tcBorders>
            <w:noWrap w:val="0"/>
            <w:vAlign w:val="center"/>
          </w:tcPr>
          <w:p w14:paraId="2D2972E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总分</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45DCFE0">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100</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16CC2D28">
            <w:pPr>
              <w:jc w:val="center"/>
              <w:rPr>
                <w:rFonts w:hint="eastAsia" w:ascii="仿宋_GB2312" w:hAnsi="仿宋_GB2312" w:eastAsia="仿宋_GB2312" w:cs="仿宋_GB2312"/>
                <w:b/>
                <w:bCs/>
                <w:i w:val="0"/>
                <w:iCs w:val="0"/>
                <w:color w:val="000000"/>
                <w:sz w:val="21"/>
                <w:szCs w:val="21"/>
                <w:u w:val="none"/>
              </w:rPr>
            </w:pP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001A1B6F">
            <w:pPr>
              <w:jc w:val="both"/>
              <w:rPr>
                <w:rFonts w:hint="eastAsia" w:ascii="仿宋_GB2312" w:hAnsi="仿宋_GB2312" w:eastAsia="仿宋_GB2312" w:cs="仿宋_GB2312"/>
                <w:i w:val="0"/>
                <w:iCs w:val="0"/>
                <w:color w:val="000000"/>
                <w:sz w:val="21"/>
                <w:szCs w:val="21"/>
                <w:u w:val="none"/>
              </w:rPr>
            </w:pP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1DC6A1D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sz w:val="21"/>
                <w:szCs w:val="21"/>
                <w:u w:val="none"/>
              </w:rPr>
              <w:fldChar w:fldCharType="begin"/>
            </w:r>
            <w:r>
              <w:rPr>
                <w:rFonts w:hint="eastAsia" w:ascii="仿宋_GB2312" w:hAnsi="仿宋_GB2312" w:eastAsia="仿宋_GB2312" w:cs="仿宋_GB2312"/>
                <w:b/>
                <w:bCs/>
                <w:i w:val="0"/>
                <w:iCs w:val="0"/>
                <w:color w:val="000000"/>
                <w:sz w:val="21"/>
                <w:szCs w:val="21"/>
                <w:u w:val="none"/>
              </w:rPr>
              <w:instrText xml:space="preserve"> = sum(E4:E30) \* MERGEFORMAT </w:instrText>
            </w:r>
            <w:r>
              <w:rPr>
                <w:rFonts w:hint="eastAsia" w:ascii="仿宋_GB2312" w:hAnsi="仿宋_GB2312" w:eastAsia="仿宋_GB2312" w:cs="仿宋_GB2312"/>
                <w:b/>
                <w:bCs/>
                <w:i w:val="0"/>
                <w:iCs w:val="0"/>
                <w:color w:val="000000"/>
                <w:sz w:val="21"/>
                <w:szCs w:val="21"/>
                <w:u w:val="none"/>
              </w:rPr>
              <w:fldChar w:fldCharType="separate"/>
            </w:r>
            <w:r>
              <w:rPr>
                <w:rFonts w:hint="eastAsia" w:ascii="仿宋_GB2312" w:hAnsi="仿宋_GB2312" w:eastAsia="仿宋_GB2312" w:cs="仿宋_GB2312"/>
                <w:b/>
                <w:bCs/>
                <w:i w:val="0"/>
                <w:iCs w:val="0"/>
                <w:color w:val="000000"/>
                <w:sz w:val="21"/>
                <w:szCs w:val="21"/>
                <w:u w:val="none"/>
              </w:rPr>
              <w:t>100</w:t>
            </w:r>
            <w:r>
              <w:rPr>
                <w:rFonts w:hint="eastAsia" w:ascii="仿宋_GB2312" w:hAnsi="仿宋_GB2312" w:eastAsia="仿宋_GB2312" w:cs="仿宋_GB2312"/>
                <w:b/>
                <w:bCs/>
                <w:i w:val="0"/>
                <w:iCs w:val="0"/>
                <w:color w:val="000000"/>
                <w:sz w:val="21"/>
                <w:szCs w:val="21"/>
                <w:u w:val="none"/>
              </w:rPr>
              <w:fldChar w:fldCharType="end"/>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14:paraId="574CB3A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lang w:val="en-US" w:eastAsia="zh-CN"/>
              </w:rPr>
            </w:pPr>
            <w:r>
              <w:rPr>
                <w:rFonts w:hint="eastAsia" w:ascii="仿宋_GB2312" w:hAnsi="仿宋_GB2312" w:eastAsia="仿宋_GB2312" w:cs="仿宋_GB2312"/>
                <w:b/>
                <w:bCs/>
                <w:i w:val="0"/>
                <w:iCs w:val="0"/>
                <w:color w:val="000000"/>
                <w:sz w:val="21"/>
                <w:szCs w:val="21"/>
                <w:u w:val="none"/>
                <w:lang w:val="en-US" w:eastAsia="zh-CN"/>
              </w:rPr>
              <w:t>89.62</w:t>
            </w:r>
          </w:p>
        </w:tc>
        <w:tc>
          <w:tcPr>
            <w:tcW w:w="2083" w:type="dxa"/>
            <w:tcBorders>
              <w:top w:val="single" w:color="000000" w:sz="4" w:space="0"/>
              <w:left w:val="single" w:color="000000" w:sz="4" w:space="0"/>
              <w:bottom w:val="single" w:color="000000" w:sz="4" w:space="0"/>
              <w:right w:val="single" w:color="000000" w:sz="4" w:space="0"/>
            </w:tcBorders>
            <w:noWrap w:val="0"/>
            <w:vAlign w:val="center"/>
          </w:tcPr>
          <w:p w14:paraId="265259D6">
            <w:pPr>
              <w:jc w:val="left"/>
              <w:rPr>
                <w:rFonts w:hint="eastAsia" w:ascii="仿宋_GB2312" w:hAnsi="仿宋_GB2312" w:eastAsia="仿宋_GB2312" w:cs="仿宋_GB2312"/>
                <w:b/>
                <w:bCs/>
                <w:i w:val="0"/>
                <w:iCs w:val="0"/>
                <w:color w:val="000000"/>
                <w:sz w:val="21"/>
                <w:szCs w:val="21"/>
                <w:u w:val="none"/>
              </w:rPr>
            </w:pPr>
          </w:p>
        </w:tc>
      </w:tr>
    </w:tbl>
    <w:p w14:paraId="37859AAB">
      <w:pPr>
        <w:outlineLvl w:val="0"/>
        <w:rPr>
          <w:rFonts w:hint="eastAsia" w:ascii="黑体" w:hAnsi="黑体" w:eastAsia="黑体" w:cs="黑体"/>
          <w:color w:val="auto"/>
          <w:sz w:val="32"/>
          <w:szCs w:val="32"/>
          <w:highlight w:val="none"/>
          <w:lang w:val="en-US" w:eastAsia="zh-CN"/>
        </w:rPr>
        <w:sectPr>
          <w:headerReference r:id="rId9" w:type="first"/>
          <w:footerReference r:id="rId11" w:type="first"/>
          <w:footerReference r:id="rId10" w:type="default"/>
          <w:pgSz w:w="16838" w:h="11906" w:orient="landscape"/>
          <w:pgMar w:top="1701" w:right="1417" w:bottom="1559" w:left="1417" w:header="851" w:footer="992" w:gutter="0"/>
          <w:pgBorders>
            <w:top w:val="none" w:sz="0" w:space="0"/>
            <w:left w:val="none" w:sz="0" w:space="0"/>
            <w:bottom w:val="none" w:sz="0" w:space="0"/>
            <w:right w:val="none" w:sz="0" w:space="0"/>
          </w:pgBorders>
          <w:pgNumType w:fmt="decimal"/>
          <w:cols w:space="720" w:num="1"/>
          <w:titlePg/>
          <w:rtlGutter w:val="0"/>
          <w:docGrid w:type="linesAndChars" w:linePitch="332" w:charSpace="625"/>
        </w:sectPr>
      </w:pPr>
    </w:p>
    <w:bookmarkEnd w:id="0"/>
    <w:p w14:paraId="1A450E7E"/>
    <w:sectPr>
      <w:footerReference r:id="rId12" w:type="default"/>
      <w:pgSz w:w="11906" w:h="16838"/>
      <w:pgMar w:top="1417" w:right="1559" w:bottom="1417" w:left="1701"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Copperplate Gothic Bold">
    <w:panose1 w:val="020E0705020206020404"/>
    <w:charset w:val="00"/>
    <w:family w:val="swiss"/>
    <w:pitch w:val="default"/>
    <w:sig w:usb0="00000003" w:usb1="00000000" w:usb2="00000000" w:usb3="00000000" w:csb0="20000001"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KSOF4B1AA1F4">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DFBF4">
    <w:pPr>
      <w:pStyle w:val="11"/>
      <w:rPr>
        <w:rFonts w:hint="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E9235C">
                          <w:pPr>
                            <w:pStyle w:val="11"/>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6E9235C">
                    <w:pPr>
                      <w:pStyle w:val="11"/>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A63B3">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E197C">
                          <w:pPr>
                            <w:pStyle w:val="11"/>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62E197C">
                    <w:pPr>
                      <w:pStyle w:val="11"/>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D8689">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BDED5">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BAB3A">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1A282">
    <w:pPr>
      <w:pStyle w:val="12"/>
      <w:pBdr>
        <w:bottom w:val="single" w:color="auto" w:sz="4" w:space="1"/>
      </w:pBdr>
      <w:jc w:val="both"/>
      <w:rPr>
        <w:rFonts w:hint="eastAsia" w:ascii="仿宋" w:hAnsi="仿宋" w:eastAsia="仿宋" w:cs="仿宋"/>
        <w:sz w:val="22"/>
        <w:szCs w:val="22"/>
      </w:rPr>
    </w:pPr>
    <w:r>
      <w:rPr>
        <w:rFonts w:hint="eastAsia" w:ascii="仿宋" w:hAnsi="仿宋" w:eastAsia="仿宋" w:cs="仿宋"/>
        <w:sz w:val="22"/>
        <w:szCs w:val="22"/>
        <w:lang w:eastAsia="zh-CN"/>
      </w:rPr>
      <w:t xml:space="preserve">  扶风县高层次医疗人才引进资金项目</w:t>
    </w:r>
    <w:r>
      <w:rPr>
        <w:rFonts w:hint="eastAsia" w:ascii="仿宋" w:hAnsi="仿宋" w:eastAsia="仿宋" w:cs="仿宋"/>
        <w:sz w:val="22"/>
        <w:szCs w:val="22"/>
      </w:rPr>
      <w:t>绩效评价报告</w:t>
    </w:r>
  </w:p>
  <w:p w14:paraId="64096DF9">
    <w:pPr>
      <w:pStyle w:val="12"/>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43BBF">
    <w:pPr>
      <w:pStyle w:val="12"/>
      <w:pBdr>
        <w:top w:val="none" w:color="auto" w:sz="0" w:space="0"/>
        <w:left w:val="none" w:color="auto" w:sz="0" w:space="0"/>
        <w:bottom w:val="none" w:color="auto" w:sz="0" w:space="1"/>
        <w:right w:val="none" w:color="auto" w:sz="0" w:space="0"/>
        <w:between w:val="none" w:color="auto" w:sz="0" w:space="0"/>
      </w:pBdr>
      <w:jc w:val="both"/>
      <w:rPr>
        <w:rFonts w:hint="eastAsia" w:ascii="仿宋" w:hAnsi="仿宋" w:eastAsia="仿宋" w:cs="仿宋"/>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507CB">
    <w:pPr>
      <w:pStyle w:val="12"/>
      <w:pBdr>
        <w:top w:val="none" w:color="auto" w:sz="0" w:space="0"/>
        <w:left w:val="none" w:color="auto" w:sz="0" w:space="0"/>
        <w:bottom w:val="none" w:color="auto" w:sz="0" w:space="1"/>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082B8">
    <w:pPr>
      <w:pStyle w:val="12"/>
      <w:pBdr>
        <w:top w:val="none" w:color="auto" w:sz="0" w:space="0"/>
        <w:left w:val="none" w:color="auto" w:sz="0" w:space="0"/>
        <w:bottom w:val="none" w:color="auto" w:sz="0" w:space="1"/>
        <w:right w:val="none" w:color="auto" w:sz="0" w:space="0"/>
        <w:between w:val="none" w:color="auto" w:sz="0" w:space="0"/>
      </w:pBdr>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CE751">
    <w:pPr>
      <w:pStyle w:val="12"/>
      <w:pBdr>
        <w:top w:val="none" w:color="auto" w:sz="0" w:space="0"/>
        <w:left w:val="none" w:color="auto" w:sz="0" w:space="0"/>
        <w:bottom w:val="none" w:color="auto" w:sz="0" w:space="1"/>
        <w:right w:val="none" w:color="auto" w:sz="0" w:space="0"/>
        <w:between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YzRkZDY2NGU0MGNmYzJjMTYzMmE4M2NkM2VjMmUifQ=="/>
  </w:docVars>
  <w:rsids>
    <w:rsidRoot w:val="38E37B57"/>
    <w:rsid w:val="00A3295D"/>
    <w:rsid w:val="010F3B4F"/>
    <w:rsid w:val="01CB01B3"/>
    <w:rsid w:val="026A7A48"/>
    <w:rsid w:val="02CE489B"/>
    <w:rsid w:val="04A74525"/>
    <w:rsid w:val="0516539A"/>
    <w:rsid w:val="062F259D"/>
    <w:rsid w:val="06B46C77"/>
    <w:rsid w:val="07ED65E2"/>
    <w:rsid w:val="08935065"/>
    <w:rsid w:val="09CF031F"/>
    <w:rsid w:val="0A5B1BB3"/>
    <w:rsid w:val="0A682522"/>
    <w:rsid w:val="0A914B0F"/>
    <w:rsid w:val="0B3568A8"/>
    <w:rsid w:val="0B3A5C6C"/>
    <w:rsid w:val="0BBA5318"/>
    <w:rsid w:val="0BE502CE"/>
    <w:rsid w:val="0C086845"/>
    <w:rsid w:val="0C300E1D"/>
    <w:rsid w:val="0CC53C5B"/>
    <w:rsid w:val="0DD56120"/>
    <w:rsid w:val="0E2E3EEC"/>
    <w:rsid w:val="0E6255D4"/>
    <w:rsid w:val="0EB65F51"/>
    <w:rsid w:val="0F0071D6"/>
    <w:rsid w:val="11223F48"/>
    <w:rsid w:val="11C12C43"/>
    <w:rsid w:val="12930008"/>
    <w:rsid w:val="13ED7CA3"/>
    <w:rsid w:val="13EE3A98"/>
    <w:rsid w:val="13F974EB"/>
    <w:rsid w:val="14DC398E"/>
    <w:rsid w:val="15643C3E"/>
    <w:rsid w:val="158E5532"/>
    <w:rsid w:val="17DD454F"/>
    <w:rsid w:val="18773C95"/>
    <w:rsid w:val="187F73B4"/>
    <w:rsid w:val="18B93457"/>
    <w:rsid w:val="190B3B8C"/>
    <w:rsid w:val="19EE1B79"/>
    <w:rsid w:val="1A6714B9"/>
    <w:rsid w:val="1A82318C"/>
    <w:rsid w:val="1B925F89"/>
    <w:rsid w:val="1C1F63B7"/>
    <w:rsid w:val="1E8F7C25"/>
    <w:rsid w:val="1F047590"/>
    <w:rsid w:val="1F75506D"/>
    <w:rsid w:val="1F7F7C9A"/>
    <w:rsid w:val="204F3B10"/>
    <w:rsid w:val="20BA367F"/>
    <w:rsid w:val="2355768F"/>
    <w:rsid w:val="252E0198"/>
    <w:rsid w:val="26211AAB"/>
    <w:rsid w:val="269B185D"/>
    <w:rsid w:val="26A96726"/>
    <w:rsid w:val="26AD333E"/>
    <w:rsid w:val="26CC5BD5"/>
    <w:rsid w:val="2744709E"/>
    <w:rsid w:val="27695189"/>
    <w:rsid w:val="281B2C24"/>
    <w:rsid w:val="28447CD2"/>
    <w:rsid w:val="291B489A"/>
    <w:rsid w:val="294A30C6"/>
    <w:rsid w:val="297B5976"/>
    <w:rsid w:val="299C5AE8"/>
    <w:rsid w:val="2AB60BB7"/>
    <w:rsid w:val="2BC970EF"/>
    <w:rsid w:val="2C4C53A8"/>
    <w:rsid w:val="2CF14F59"/>
    <w:rsid w:val="2FE51D9B"/>
    <w:rsid w:val="31D077C5"/>
    <w:rsid w:val="332C4476"/>
    <w:rsid w:val="340605AC"/>
    <w:rsid w:val="341B5D8B"/>
    <w:rsid w:val="3522139B"/>
    <w:rsid w:val="35B11171"/>
    <w:rsid w:val="35D02213"/>
    <w:rsid w:val="365372D3"/>
    <w:rsid w:val="3720190B"/>
    <w:rsid w:val="379F0A81"/>
    <w:rsid w:val="38561A88"/>
    <w:rsid w:val="38AB665B"/>
    <w:rsid w:val="38E37B57"/>
    <w:rsid w:val="3AF31810"/>
    <w:rsid w:val="3B3836C7"/>
    <w:rsid w:val="3BC202C0"/>
    <w:rsid w:val="3CFD28A5"/>
    <w:rsid w:val="3D5C444A"/>
    <w:rsid w:val="3DAB63D2"/>
    <w:rsid w:val="3DBA0E43"/>
    <w:rsid w:val="3DBD7EB3"/>
    <w:rsid w:val="3EC534C3"/>
    <w:rsid w:val="3F400D9C"/>
    <w:rsid w:val="3F6B1FEB"/>
    <w:rsid w:val="3FD634AE"/>
    <w:rsid w:val="412225DA"/>
    <w:rsid w:val="41824619"/>
    <w:rsid w:val="418331C2"/>
    <w:rsid w:val="42206C63"/>
    <w:rsid w:val="424A412C"/>
    <w:rsid w:val="428C4071"/>
    <w:rsid w:val="43456981"/>
    <w:rsid w:val="43AF1927"/>
    <w:rsid w:val="43C95804"/>
    <w:rsid w:val="43CD6976"/>
    <w:rsid w:val="44556AD5"/>
    <w:rsid w:val="44927617"/>
    <w:rsid w:val="45997458"/>
    <w:rsid w:val="45B56CCC"/>
    <w:rsid w:val="463B22BD"/>
    <w:rsid w:val="47490A0A"/>
    <w:rsid w:val="47C53370"/>
    <w:rsid w:val="47FB7F56"/>
    <w:rsid w:val="483E4851"/>
    <w:rsid w:val="484C6A03"/>
    <w:rsid w:val="485E04E5"/>
    <w:rsid w:val="495C67D2"/>
    <w:rsid w:val="4A3E412A"/>
    <w:rsid w:val="4AB56AE2"/>
    <w:rsid w:val="4C752B7D"/>
    <w:rsid w:val="4D1107FD"/>
    <w:rsid w:val="4D4E28D6"/>
    <w:rsid w:val="4D861E62"/>
    <w:rsid w:val="4E4F113A"/>
    <w:rsid w:val="50697A27"/>
    <w:rsid w:val="509D6459"/>
    <w:rsid w:val="50FB2D75"/>
    <w:rsid w:val="51A258E6"/>
    <w:rsid w:val="51BF6FE1"/>
    <w:rsid w:val="522E2240"/>
    <w:rsid w:val="52D01FDF"/>
    <w:rsid w:val="52DD3E17"/>
    <w:rsid w:val="53334A48"/>
    <w:rsid w:val="53D14261"/>
    <w:rsid w:val="54492049"/>
    <w:rsid w:val="54877D10"/>
    <w:rsid w:val="55305925"/>
    <w:rsid w:val="554634AF"/>
    <w:rsid w:val="55A41C2D"/>
    <w:rsid w:val="55BD2CEE"/>
    <w:rsid w:val="563B2BBD"/>
    <w:rsid w:val="56656292"/>
    <w:rsid w:val="56BE6D1E"/>
    <w:rsid w:val="56CD0D0F"/>
    <w:rsid w:val="57E41D2A"/>
    <w:rsid w:val="58F307D5"/>
    <w:rsid w:val="59C53F20"/>
    <w:rsid w:val="5A513A05"/>
    <w:rsid w:val="5C8C6F77"/>
    <w:rsid w:val="5CEB1EEF"/>
    <w:rsid w:val="5D0B07E3"/>
    <w:rsid w:val="5D107BA8"/>
    <w:rsid w:val="5D3513BC"/>
    <w:rsid w:val="5D995DEF"/>
    <w:rsid w:val="5E1B6290"/>
    <w:rsid w:val="5E631F59"/>
    <w:rsid w:val="5EFD2BF2"/>
    <w:rsid w:val="5F0B0627"/>
    <w:rsid w:val="60033C5A"/>
    <w:rsid w:val="62E219B1"/>
    <w:rsid w:val="631321A0"/>
    <w:rsid w:val="63A64809"/>
    <w:rsid w:val="63A97DB1"/>
    <w:rsid w:val="645E3E33"/>
    <w:rsid w:val="64965C84"/>
    <w:rsid w:val="650F4BE9"/>
    <w:rsid w:val="651F5CA2"/>
    <w:rsid w:val="65231C13"/>
    <w:rsid w:val="6550648B"/>
    <w:rsid w:val="658B6891"/>
    <w:rsid w:val="66EB346C"/>
    <w:rsid w:val="673E77F9"/>
    <w:rsid w:val="67711DB7"/>
    <w:rsid w:val="67C717AB"/>
    <w:rsid w:val="68204069"/>
    <w:rsid w:val="68721717"/>
    <w:rsid w:val="689F0CB2"/>
    <w:rsid w:val="694766FF"/>
    <w:rsid w:val="6CAF430C"/>
    <w:rsid w:val="6D475CF9"/>
    <w:rsid w:val="6F9E056C"/>
    <w:rsid w:val="6FB24AEE"/>
    <w:rsid w:val="70453BB5"/>
    <w:rsid w:val="705931BC"/>
    <w:rsid w:val="714E1AB7"/>
    <w:rsid w:val="71663DE2"/>
    <w:rsid w:val="72FF629D"/>
    <w:rsid w:val="73B057E9"/>
    <w:rsid w:val="73EB6821"/>
    <w:rsid w:val="74671781"/>
    <w:rsid w:val="751C1CFB"/>
    <w:rsid w:val="75281E8A"/>
    <w:rsid w:val="76342701"/>
    <w:rsid w:val="7671125F"/>
    <w:rsid w:val="770727D6"/>
    <w:rsid w:val="77534E9B"/>
    <w:rsid w:val="779F3BAA"/>
    <w:rsid w:val="78031871"/>
    <w:rsid w:val="78B13B95"/>
    <w:rsid w:val="79C952A7"/>
    <w:rsid w:val="79D910DD"/>
    <w:rsid w:val="7A3E58FC"/>
    <w:rsid w:val="7ACF65E9"/>
    <w:rsid w:val="7B0F5208"/>
    <w:rsid w:val="7BF82F51"/>
    <w:rsid w:val="7C9E2682"/>
    <w:rsid w:val="7D8F646F"/>
    <w:rsid w:val="7DCF52A0"/>
    <w:rsid w:val="7F244161"/>
    <w:rsid w:val="7FE93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7">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8">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pacing w:before="0" w:beforeAutospacing="0" w:after="120" w:afterAutospacing="0"/>
      <w:ind w:left="0" w:right="0"/>
      <w:jc w:val="both"/>
    </w:pPr>
    <w:rPr>
      <w:rFonts w:ascii="Calibri" w:hAnsi="Calibri"/>
      <w:kern w:val="2"/>
      <w:sz w:val="21"/>
      <w:szCs w:val="24"/>
    </w:rPr>
  </w:style>
  <w:style w:type="paragraph" w:styleId="3">
    <w:name w:val="Body Text 2"/>
    <w:basedOn w:val="1"/>
    <w:qFormat/>
    <w:uiPriority w:val="99"/>
    <w:rPr>
      <w:rFonts w:ascii="楷体_GB2312" w:hAnsi="Copperplate Gothic Bold" w:eastAsia="楷体_GB2312"/>
      <w:sz w:val="28"/>
    </w:rPr>
  </w:style>
  <w:style w:type="paragraph" w:styleId="9">
    <w:name w:val="annotation text"/>
    <w:basedOn w:val="1"/>
    <w:qFormat/>
    <w:uiPriority w:val="0"/>
    <w:pPr>
      <w:jc w:val="left"/>
    </w:pPr>
  </w:style>
  <w:style w:type="paragraph" w:styleId="10">
    <w:name w:val="Body Text Indent"/>
    <w:basedOn w:val="1"/>
    <w:qFormat/>
    <w:uiPriority w:val="0"/>
    <w:pPr>
      <w:ind w:firstLine="200" w:firstLineChars="200"/>
    </w:pPr>
    <w:rPr>
      <w:sz w:val="28"/>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2"/>
    <w:basedOn w:val="1"/>
    <w:next w:val="1"/>
    <w:qFormat/>
    <w:uiPriority w:val="0"/>
    <w:pPr>
      <w:ind w:left="420" w:leftChars="200"/>
    </w:pPr>
  </w:style>
  <w:style w:type="paragraph" w:styleId="14">
    <w:name w:val="Normal (Web)"/>
    <w:basedOn w:val="1"/>
    <w:qFormat/>
    <w:uiPriority w:val="0"/>
    <w:pPr>
      <w:widowControl/>
      <w:spacing w:before="100" w:beforeAutospacing="1" w:after="100" w:afterAutospacing="1"/>
      <w:jc w:val="left"/>
    </w:pPr>
    <w:rPr>
      <w:rFonts w:ascii="宋体" w:eastAsia="宋体" w:cs="宋体"/>
      <w:kern w:val="0"/>
      <w:sz w:val="24"/>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qFormat/>
    <w:uiPriority w:val="0"/>
    <w:rPr>
      <w:color w:val="0000FF"/>
      <w:u w:val="single"/>
    </w:rPr>
  </w:style>
  <w:style w:type="character" w:customStyle="1" w:styleId="19">
    <w:name w:val="font11"/>
    <w:basedOn w:val="17"/>
    <w:qFormat/>
    <w:uiPriority w:val="0"/>
    <w:rPr>
      <w:rFonts w:hint="eastAsia" w:ascii="宋体" w:hAnsi="宋体" w:eastAsia="宋体" w:cs="宋体"/>
      <w:color w:val="000000"/>
      <w:sz w:val="28"/>
      <w:szCs w:val="28"/>
      <w:u w:val="none"/>
    </w:rPr>
  </w:style>
  <w:style w:type="character" w:customStyle="1" w:styleId="20">
    <w:name w:val="font51"/>
    <w:basedOn w:val="17"/>
    <w:qFormat/>
    <w:uiPriority w:val="0"/>
    <w:rPr>
      <w:rFonts w:hint="eastAsia" w:ascii="宋体" w:hAnsi="宋体" w:eastAsia="宋体" w:cs="宋体"/>
      <w:color w:val="FF0000"/>
      <w:sz w:val="28"/>
      <w:szCs w:val="28"/>
      <w:u w:val="none"/>
    </w:rPr>
  </w:style>
  <w:style w:type="character" w:customStyle="1" w:styleId="21">
    <w:name w:val="font01"/>
    <w:basedOn w:val="17"/>
    <w:qFormat/>
    <w:uiPriority w:val="0"/>
    <w:rPr>
      <w:rFonts w:ascii="宋体" w:hAnsi="宋体" w:eastAsia="宋体" w:cs="宋体"/>
      <w:color w:val="000000"/>
      <w:sz w:val="24"/>
      <w:szCs w:val="24"/>
      <w:u w:val="none"/>
    </w:rPr>
  </w:style>
  <w:style w:type="character" w:customStyle="1" w:styleId="22">
    <w:name w:val="font21"/>
    <w:basedOn w:val="17"/>
    <w:qFormat/>
    <w:uiPriority w:val="0"/>
    <w:rPr>
      <w:rFonts w:ascii="宋体" w:hAnsi="宋体" w:eastAsia="宋体" w:cs="宋体"/>
      <w:color w:val="000000"/>
      <w:sz w:val="24"/>
      <w:szCs w:val="24"/>
      <w:u w:val="none"/>
    </w:rPr>
  </w:style>
  <w:style w:type="character" w:customStyle="1" w:styleId="23">
    <w:name w:val="font31"/>
    <w:basedOn w:val="17"/>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4279</Words>
  <Characters>5176</Characters>
  <Lines>0</Lines>
  <Paragraphs>0</Paragraphs>
  <TotalTime>8</TotalTime>
  <ScaleCrop>false</ScaleCrop>
  <LinksUpToDate>false</LinksUpToDate>
  <CharactersWithSpaces>5271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2025-06-13T08:16:00Z</dcterms:created>
  <dc:creator>海纳百川</dc:creator>
  <cp:lastModifiedBy>＆一笑而过::&gt;_&lt;:</cp:lastModifiedBy>
  <dcterms:modified xsi:type="dcterms:W3CDTF">2025-12-19T06:20:58Z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0EB0AF4913C94902A7582DF6804EF262_13</vt:lpwstr>
  </property>
  <property fmtid="{D5CDD505-2E9C-101B-9397-08002B2CF9AE}" pid="4" name="KSOTemplateDocerSaveRecord">
    <vt:lpwstr>eyJoZGlkIjoiNGYyZWE5OWUzMGI3ZWUyNjZhYTk0YzRkZDlmMmJlOGQiLCJ1c2VySWQiOiIxMTY2NzU5ODkyIn0=</vt:lpwstr>
  </property>
</Properties>
</file>