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EE526">
      <w:pPr>
        <w:jc w:val="both"/>
        <w:rPr>
          <w:rFonts w:hint="default" w:ascii="黑体" w:hAnsi="Times New Roman" w:eastAsia="黑体" w:cs="黑体"/>
          <w:b/>
          <w:sz w:val="21"/>
          <w:szCs w:val="21"/>
          <w:lang w:val="en-US" w:eastAsia="zh-CN"/>
        </w:rPr>
      </w:pPr>
    </w:p>
    <w:p w14:paraId="1564DCB2">
      <w:pPr>
        <w:jc w:val="both"/>
        <w:rPr>
          <w:rFonts w:hint="default" w:ascii="黑体" w:hAnsi="Times New Roman" w:eastAsia="黑体" w:cs="黑体"/>
          <w:b/>
          <w:sz w:val="36"/>
          <w:szCs w:val="36"/>
          <w:lang w:val="en-US" w:eastAsia="zh-CN"/>
        </w:rPr>
      </w:pPr>
    </w:p>
    <w:p w14:paraId="19ABDA0A">
      <w:pPr>
        <w:pStyle w:val="11"/>
        <w:rPr>
          <w:rFonts w:hint="eastAsia"/>
          <w:sz w:val="18"/>
          <w:szCs w:val="18"/>
          <w:lang w:val="en-US" w:eastAsia="zh-CN"/>
        </w:rPr>
      </w:pPr>
    </w:p>
    <w:p w14:paraId="23FC5000">
      <w:pPr>
        <w:pStyle w:val="11"/>
        <w:rPr>
          <w:rFonts w:hint="eastAsia"/>
          <w:sz w:val="18"/>
          <w:szCs w:val="18"/>
          <w:lang w:val="en-US" w:eastAsia="zh-CN"/>
        </w:rPr>
      </w:pPr>
    </w:p>
    <w:p w14:paraId="393FF562">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bCs w:val="0"/>
          <w:sz w:val="52"/>
          <w:szCs w:val="52"/>
          <w:lang w:eastAsia="zh-CN"/>
        </w:rPr>
      </w:pPr>
      <w:r>
        <w:rPr>
          <w:rFonts w:hint="eastAsia" w:ascii="黑体" w:hAnsi="黑体" w:eastAsia="黑体" w:cs="黑体"/>
          <w:b/>
          <w:bCs w:val="0"/>
          <w:sz w:val="52"/>
          <w:szCs w:val="52"/>
          <w:lang w:eastAsia="zh-CN"/>
        </w:rPr>
        <w:t>2024年扶风县“多规合一”实用性</w:t>
      </w:r>
    </w:p>
    <w:p w14:paraId="7E1EFE52">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val="0"/>
          <w:bCs/>
          <w:sz w:val="52"/>
          <w:szCs w:val="52"/>
          <w:lang w:eastAsia="zh-CN"/>
        </w:rPr>
      </w:pPr>
      <w:r>
        <w:rPr>
          <w:rFonts w:hint="eastAsia" w:ascii="黑体" w:hAnsi="黑体" w:eastAsia="黑体" w:cs="黑体"/>
          <w:b/>
          <w:bCs w:val="0"/>
          <w:sz w:val="52"/>
          <w:szCs w:val="52"/>
          <w:lang w:eastAsia="zh-CN"/>
        </w:rPr>
        <w:t>村庄规划编制项目绩效评价报告</w:t>
      </w:r>
    </w:p>
    <w:p w14:paraId="23083FDA">
      <w:pPr>
        <w:pStyle w:val="10"/>
        <w:rPr>
          <w:rFonts w:hint="eastAsia"/>
        </w:rPr>
      </w:pPr>
    </w:p>
    <w:p w14:paraId="19541969">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p>
    <w:p w14:paraId="1B54FD0B">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p>
    <w:p w14:paraId="097E15DF">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r>
        <w:rPr>
          <w:rFonts w:hint="eastAsia" w:ascii="华文宋体" w:hAnsi="华文宋体"/>
          <w:color w:val="auto"/>
          <w:sz w:val="31"/>
          <w:highlight w:val="none"/>
          <w:shd w:val="clear" w:color="auto" w:fill="FFFFFF"/>
          <w:lang w:val="en-US" w:eastAsia="zh-CN"/>
        </w:rPr>
        <w:t xml:space="preserve"> </w:t>
      </w:r>
    </w:p>
    <w:p w14:paraId="7CB90C50">
      <w:pPr>
        <w:pStyle w:val="10"/>
        <w:rPr>
          <w:rFonts w:hint="default"/>
          <w:color w:val="auto"/>
          <w:highlight w:val="none"/>
          <w:lang w:val="en-US" w:eastAsia="zh-CN"/>
        </w:rPr>
      </w:pPr>
    </w:p>
    <w:p w14:paraId="6D7C2B83">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3C1169C1">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72564291">
      <w:pPr>
        <w:spacing w:line="360" w:lineRule="auto"/>
        <w:ind w:firstLine="1285" w:firstLineChars="400"/>
        <w:rPr>
          <w:rFonts w:hint="eastAsia" w:ascii="宋体" w:hAnsi="宋体" w:cs="宋体"/>
          <w:b/>
          <w:bCs/>
          <w:color w:val="auto"/>
          <w:sz w:val="32"/>
          <w:szCs w:val="32"/>
          <w:highlight w:val="none"/>
        </w:rPr>
      </w:pPr>
    </w:p>
    <w:p w14:paraId="76B25943">
      <w:pPr>
        <w:pStyle w:val="10"/>
        <w:rPr>
          <w:rFonts w:hint="eastAsia" w:ascii="宋体" w:hAnsi="宋体" w:cs="宋体"/>
          <w:b/>
          <w:bCs/>
          <w:color w:val="auto"/>
          <w:sz w:val="32"/>
          <w:szCs w:val="32"/>
          <w:highlight w:val="none"/>
        </w:rPr>
      </w:pPr>
    </w:p>
    <w:p w14:paraId="19B1CB31">
      <w:pPr>
        <w:pStyle w:val="11"/>
        <w:rPr>
          <w:rFonts w:hint="eastAsia" w:ascii="宋体" w:hAnsi="宋体" w:cs="宋体"/>
          <w:b/>
          <w:bCs/>
          <w:color w:val="auto"/>
          <w:sz w:val="32"/>
          <w:szCs w:val="32"/>
          <w:highlight w:val="none"/>
        </w:rPr>
      </w:pPr>
    </w:p>
    <w:p w14:paraId="3C2F4AEC">
      <w:pPr>
        <w:pStyle w:val="11"/>
        <w:rPr>
          <w:rFonts w:hint="eastAsia" w:ascii="宋体" w:hAnsi="宋体" w:cs="宋体"/>
          <w:b/>
          <w:bCs/>
          <w:color w:val="auto"/>
          <w:sz w:val="32"/>
          <w:szCs w:val="32"/>
          <w:highlight w:val="none"/>
        </w:rPr>
      </w:pPr>
    </w:p>
    <w:p w14:paraId="662BEA93">
      <w:pPr>
        <w:pStyle w:val="11"/>
        <w:rPr>
          <w:rFonts w:hint="eastAsia" w:ascii="宋体" w:hAnsi="宋体" w:cs="宋体"/>
          <w:b/>
          <w:bCs/>
          <w:color w:val="auto"/>
          <w:sz w:val="32"/>
          <w:szCs w:val="32"/>
          <w:highlight w:val="none"/>
        </w:rPr>
      </w:pPr>
    </w:p>
    <w:p w14:paraId="1994C5E6">
      <w:pPr>
        <w:spacing w:line="360" w:lineRule="auto"/>
        <w:ind w:firstLine="1285" w:firstLineChars="400"/>
        <w:rPr>
          <w:rFonts w:hint="eastAsia" w:ascii="宋体" w:hAnsi="宋体" w:cs="宋体"/>
          <w:b/>
          <w:bCs/>
          <w:color w:val="auto"/>
          <w:sz w:val="32"/>
          <w:szCs w:val="32"/>
          <w:highlight w:val="none"/>
        </w:rPr>
      </w:pPr>
    </w:p>
    <w:p w14:paraId="21F4E46A">
      <w:pPr>
        <w:spacing w:line="360" w:lineRule="auto"/>
        <w:jc w:val="center"/>
        <w:rPr>
          <w:rFonts w:hint="eastAsia" w:ascii="宋体" w:hAnsi="宋体" w:eastAsia="宋体" w:cs="宋体"/>
          <w:b/>
          <w:bCs/>
          <w:sz w:val="32"/>
          <w:szCs w:val="32"/>
          <w:highlight w:val="none"/>
          <w:lang w:val="en-US" w:eastAsia="zh-CN"/>
        </w:rPr>
      </w:pPr>
    </w:p>
    <w:p w14:paraId="5B9F3D35">
      <w:pPr>
        <w:spacing w:line="360" w:lineRule="auto"/>
        <w:jc w:val="center"/>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扶风县财政局</w:t>
      </w:r>
    </w:p>
    <w:p w14:paraId="317AF0DB">
      <w:pPr>
        <w:spacing w:line="360" w:lineRule="auto"/>
        <w:jc w:val="center"/>
        <w:rPr>
          <w:rFonts w:hint="default" w:ascii="宋体" w:hAnsi="宋体" w:eastAsia="宋体" w:cs="宋体"/>
          <w:b/>
          <w:color w:val="auto"/>
          <w:sz w:val="32"/>
          <w:szCs w:val="32"/>
          <w:highlight w:val="none"/>
          <w:lang w:val="en-US"/>
        </w:rPr>
        <w:sectPr>
          <w:headerReference r:id="rId4" w:type="first"/>
          <w:footerReference r:id="rId6" w:type="first"/>
          <w:headerReference r:id="rId3" w:type="default"/>
          <w:footerReference r:id="rId5" w:type="default"/>
          <w:pgSz w:w="11906" w:h="16838"/>
          <w:pgMar w:top="1417" w:right="1531" w:bottom="1417" w:left="1701" w:header="851" w:footer="992" w:gutter="0"/>
          <w:pgBorders>
            <w:top w:val="none" w:sz="0" w:space="0"/>
            <w:left w:val="none" w:sz="0" w:space="0"/>
            <w:bottom w:val="none" w:sz="0" w:space="0"/>
            <w:right w:val="none" w:sz="0" w:space="0"/>
          </w:pgBorders>
          <w:pgNumType w:fmt="decimal"/>
          <w:cols w:space="720" w:num="1"/>
          <w:titlePg/>
          <w:rtlGutter w:val="0"/>
          <w:docGrid w:type="lines" w:linePitch="312" w:charSpace="0"/>
        </w:sectPr>
      </w:pPr>
      <w:r>
        <w:rPr>
          <w:rFonts w:hint="eastAsia" w:ascii="宋体" w:hAnsi="宋体" w:eastAsia="宋体" w:cs="宋体"/>
          <w:b/>
          <w:bCs/>
          <w:sz w:val="32"/>
          <w:szCs w:val="32"/>
          <w:highlight w:val="none"/>
          <w:lang w:val="en-US" w:eastAsia="zh-CN"/>
        </w:rPr>
        <w:t>202</w:t>
      </w:r>
      <w:r>
        <w:rPr>
          <w:rFonts w:hint="eastAsia" w:ascii="宋体" w:hAnsi="宋体" w:cs="宋体"/>
          <w:b/>
          <w:bCs/>
          <w:sz w:val="32"/>
          <w:szCs w:val="32"/>
          <w:highlight w:val="none"/>
          <w:lang w:val="en-US" w:eastAsia="zh-CN"/>
        </w:rPr>
        <w:t>5</w:t>
      </w:r>
      <w:r>
        <w:rPr>
          <w:rFonts w:hint="eastAsia" w:ascii="宋体" w:hAnsi="宋体" w:eastAsia="宋体" w:cs="宋体"/>
          <w:b/>
          <w:bCs/>
          <w:sz w:val="32"/>
          <w:szCs w:val="32"/>
          <w:highlight w:val="none"/>
          <w:lang w:val="en-US" w:eastAsia="zh-CN"/>
        </w:rPr>
        <w:t>年</w:t>
      </w:r>
      <w:r>
        <w:rPr>
          <w:rFonts w:hint="eastAsia" w:ascii="宋体" w:hAnsi="宋体" w:cs="宋体"/>
          <w:b/>
          <w:bCs/>
          <w:sz w:val="32"/>
          <w:szCs w:val="32"/>
          <w:highlight w:val="none"/>
          <w:lang w:val="en-US" w:eastAsia="zh-CN"/>
        </w:rPr>
        <w:t>7</w:t>
      </w:r>
      <w:r>
        <w:rPr>
          <w:rFonts w:hint="eastAsia" w:ascii="宋体" w:hAnsi="宋体" w:eastAsia="宋体" w:cs="宋体"/>
          <w:b/>
          <w:bCs/>
          <w:sz w:val="32"/>
          <w:szCs w:val="32"/>
          <w:highlight w:val="none"/>
          <w:lang w:val="en-US" w:eastAsia="zh-CN"/>
        </w:rPr>
        <w:t>月</w:t>
      </w:r>
      <w:r>
        <w:rPr>
          <w:rFonts w:hint="eastAsia" w:ascii="宋体" w:hAnsi="宋体" w:cs="宋体"/>
          <w:b/>
          <w:bCs/>
          <w:sz w:val="32"/>
          <w:szCs w:val="32"/>
          <w:highlight w:val="none"/>
          <w:lang w:val="en-US" w:eastAsia="zh-CN"/>
        </w:rPr>
        <w:t>30</w:t>
      </w:r>
      <w:r>
        <w:rPr>
          <w:rFonts w:hint="eastAsia" w:ascii="宋体" w:hAnsi="宋体" w:eastAsia="宋体" w:cs="宋体"/>
          <w:b/>
          <w:bCs/>
          <w:sz w:val="32"/>
          <w:szCs w:val="32"/>
          <w:highlight w:val="none"/>
          <w:lang w:val="en-US" w:eastAsia="zh-CN"/>
        </w:rPr>
        <w:t>日</w:t>
      </w:r>
    </w:p>
    <w:p w14:paraId="0B1D0476">
      <w:pPr>
        <w:keepNext w:val="0"/>
        <w:keepLines w:val="0"/>
        <w:pageBreakBefore w:val="0"/>
        <w:widowControl w:val="0"/>
        <w:kinsoku/>
        <w:wordWrap/>
        <w:overflowPunct/>
        <w:topLinePunct w:val="0"/>
        <w:autoSpaceDE/>
        <w:autoSpaceDN/>
        <w:bidi w:val="0"/>
        <w:adjustRightInd/>
        <w:snapToGrid/>
        <w:spacing w:before="328" w:beforeLines="100"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2024年扶风县“多规合一”实用性村庄</w:t>
      </w:r>
    </w:p>
    <w:p w14:paraId="4B3DE6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规划编制项目绩效评价报告</w:t>
      </w:r>
    </w:p>
    <w:p w14:paraId="093B3E9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lang w:val="en-US" w:eastAsia="zh-CN"/>
        </w:rPr>
      </w:pPr>
    </w:p>
    <w:p w14:paraId="13E894F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扶风县自然资源局</w:t>
      </w:r>
      <w:r>
        <w:rPr>
          <w:rFonts w:hint="eastAsia" w:ascii="仿宋_GB2312" w:hAnsi="仿宋_GB2312" w:eastAsia="仿宋_GB2312" w:cs="仿宋_GB2312"/>
          <w:color w:val="auto"/>
          <w:sz w:val="32"/>
          <w:szCs w:val="32"/>
          <w:highlight w:val="none"/>
        </w:rPr>
        <w:t>：</w:t>
      </w:r>
    </w:p>
    <w:p w14:paraId="2CE8C5B4">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eastAsia" w:ascii="宋体"/>
          <w:b/>
          <w:color w:val="auto"/>
          <w:sz w:val="44"/>
          <w:szCs w:val="44"/>
          <w:highlight w:val="none"/>
        </w:rPr>
      </w:pPr>
      <w:r>
        <w:rPr>
          <w:rFonts w:hint="eastAsia" w:ascii="仿宋_GB2312" w:hAnsi="仿宋_GB2312" w:eastAsia="仿宋_GB2312" w:cs="仿宋_GB2312"/>
          <w:bCs/>
          <w:color w:val="auto"/>
          <w:sz w:val="32"/>
          <w:szCs w:val="32"/>
          <w:highlight w:val="none"/>
          <w:lang w:val="en-US" w:eastAsia="zh-CN"/>
        </w:rPr>
        <w:t>为深入贯彻落实党中央和省、市全面实施预算绩效管理的部署要求，加强财政支出管理，提高财政资金使用效益，根据财政部《关于印发〈项目支出绩效评价管理办法〉的通知》（财预〔2020〕10号）、宝鸡市财政局《宝鸡市加快实现预算绩效管理改革目标行动方案》（宝市财办检〔2021〕16号）、《扶风县财政局关于开展2024年度事后财政重点项目及部门整体支出绩效评价工作的通知》（扶财办绩〔2025〕5号）等相关文件要求，我局立即</w:t>
      </w:r>
      <w:r>
        <w:rPr>
          <w:rFonts w:hint="eastAsia" w:ascii="仿宋_GB2312" w:hAnsi="Calibri" w:eastAsia="仿宋_GB2312" w:cs="仿宋_GB2312"/>
          <w:color w:val="auto"/>
          <w:sz w:val="32"/>
          <w:szCs w:val="32"/>
          <w:highlight w:val="none"/>
          <w:lang w:val="en-US" w:eastAsia="zh-CN" w:bidi="ar-SA"/>
        </w:rPr>
        <w:t>成立效评价工作小组，</w:t>
      </w:r>
      <w:r>
        <w:rPr>
          <w:rFonts w:hint="eastAsia" w:ascii="仿宋_GB2312" w:hAnsi="仿宋_GB2312" w:eastAsia="仿宋_GB2312" w:cs="仿宋_GB2312"/>
          <w:color w:val="auto"/>
          <w:kern w:val="2"/>
          <w:sz w:val="32"/>
          <w:szCs w:val="32"/>
          <w:highlight w:val="none"/>
          <w:lang w:val="en-US" w:eastAsia="zh-CN" w:bidi="ar-SA"/>
        </w:rPr>
        <w:t>深入项目单位及实施现场，通过座谈交流、查阅资料、现场查看、问卷调查、查询账务系统、对比分析、综合研判等方式，在项目单位自评的基础上，遵循</w:t>
      </w:r>
      <w:r>
        <w:rPr>
          <w:rFonts w:hint="default" w:ascii="仿宋_GB2312" w:hAnsi="仿宋_GB2312" w:eastAsia="仿宋_GB2312" w:cs="仿宋_GB2312"/>
          <w:color w:val="auto"/>
          <w:kern w:val="2"/>
          <w:sz w:val="32"/>
          <w:szCs w:val="32"/>
          <w:highlight w:val="none"/>
          <w:lang w:val="en-US" w:eastAsia="zh-CN" w:bidi="ar-SA"/>
        </w:rPr>
        <w:t>科学、规范、客观、公正的原则</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0"/>
          <w:sz w:val="32"/>
          <w:szCs w:val="32"/>
          <w:highlight w:val="none"/>
          <w:lang w:val="en-US" w:eastAsia="zh-CN"/>
        </w:rPr>
        <w:t>对2024年扶风县“多规合一”实用性村庄规划编制项目</w:t>
      </w:r>
      <w:r>
        <w:rPr>
          <w:rFonts w:hint="eastAsia" w:ascii="仿宋_GB2312" w:hAnsi="仿宋_GB2312" w:eastAsia="仿宋_GB2312" w:cs="仿宋_GB2312"/>
          <w:b w:val="0"/>
          <w:bCs w:val="0"/>
          <w:color w:val="auto"/>
          <w:sz w:val="32"/>
          <w:szCs w:val="32"/>
          <w:highlight w:val="none"/>
        </w:rPr>
        <w:t>开展</w:t>
      </w:r>
      <w:r>
        <w:rPr>
          <w:rFonts w:hint="eastAsia" w:ascii="仿宋_GB2312" w:hAnsi="仿宋_GB2312" w:eastAsia="仿宋_GB2312" w:cs="仿宋_GB2312"/>
          <w:color w:val="auto"/>
          <w:sz w:val="32"/>
          <w:szCs w:val="32"/>
          <w:highlight w:val="none"/>
        </w:rPr>
        <w:t>了绩效评价。现将评价情况报告如下：</w:t>
      </w:r>
    </w:p>
    <w:p w14:paraId="15092AF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黑体" w:hAnsi="黑体" w:eastAsia="黑体" w:cs="黑体"/>
          <w:b w:val="0"/>
          <w:bCs w:val="0"/>
          <w:color w:val="auto"/>
          <w:sz w:val="32"/>
          <w:szCs w:val="32"/>
          <w:highlight w:val="none"/>
          <w:lang w:val="en-US" w:eastAsia="zh-CN"/>
        </w:rPr>
      </w:pPr>
      <w:bookmarkStart w:id="0" w:name="_Toc206309462"/>
      <w:r>
        <w:rPr>
          <w:rFonts w:hint="eastAsia" w:ascii="黑体" w:hAnsi="黑体" w:eastAsia="黑体" w:cs="黑体"/>
          <w:b w:val="0"/>
          <w:bCs w:val="0"/>
          <w:color w:val="auto"/>
          <w:sz w:val="32"/>
          <w:szCs w:val="32"/>
          <w:highlight w:val="none"/>
          <w:lang w:val="en-US" w:eastAsia="zh-CN"/>
        </w:rPr>
        <w:t>一、项目概况</w:t>
      </w:r>
    </w:p>
    <w:p w14:paraId="620D000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（一）项目背景</w:t>
      </w:r>
    </w:p>
    <w:p w14:paraId="23733736">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default" w:ascii="仿宋_GB2312" w:hAnsi="仿宋_GB2312" w:eastAsia="仿宋_GB2312" w:cs="仿宋_GB2312"/>
          <w:color w:val="auto"/>
          <w:kern w:val="2"/>
          <w:sz w:val="32"/>
          <w:szCs w:val="32"/>
          <w:highlight w:val="none"/>
          <w:lang w:val="en-US" w:eastAsia="zh-CN" w:bidi="ar-SA"/>
        </w:rPr>
        <w:t>村庄规划肩负着优化空间布局、激活乡村资源、促进城乡融合的重要使命。2019年《中共中央</w:t>
      </w:r>
      <w:r>
        <w:rPr>
          <w:rFonts w:hint="eastAsia" w:ascii="仿宋_GB2312" w:hAnsi="仿宋_GB2312" w:eastAsia="仿宋_GB2312" w:cs="仿宋_GB2312"/>
          <w:color w:val="auto"/>
          <w:kern w:val="2"/>
          <w:sz w:val="32"/>
          <w:szCs w:val="32"/>
          <w:highlight w:val="none"/>
          <w:lang w:val="en-US" w:eastAsia="zh-CN" w:bidi="ar-SA"/>
        </w:rPr>
        <w:t xml:space="preserve"> </w:t>
      </w:r>
      <w:r>
        <w:rPr>
          <w:rFonts w:hint="default" w:ascii="仿宋_GB2312" w:hAnsi="仿宋_GB2312" w:eastAsia="仿宋_GB2312" w:cs="仿宋_GB2312"/>
          <w:color w:val="auto"/>
          <w:kern w:val="2"/>
          <w:sz w:val="32"/>
          <w:szCs w:val="32"/>
          <w:highlight w:val="none"/>
          <w:lang w:val="en-US" w:eastAsia="zh-CN" w:bidi="ar-SA"/>
        </w:rPr>
        <w:t>国务院关于建立国土空间规划体系并监督实施的若干意见》明确提出实现“多规合一”，着力打破原城乡规划、土地利用规划等领域“九龙治水”的格局。自然资源部同步推进“三区三线”（生态保护红线、永久基本农田、城镇开发边界）划定工作，为村庄规划提供了刚性约束与弹性空间；地理信息系统（GIS）、三维建模等技术的应用，则为“多规合一”奠定了坚实的技术支撑。</w:t>
      </w:r>
    </w:p>
    <w:p w14:paraId="557B037E">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default" w:ascii="仿宋_GB2312" w:hAnsi="仿宋_GB2312" w:eastAsia="仿宋_GB2312" w:cs="仿宋_GB2312"/>
          <w:color w:val="auto"/>
          <w:kern w:val="2"/>
          <w:sz w:val="32"/>
          <w:szCs w:val="32"/>
          <w:highlight w:val="none"/>
          <w:lang w:val="en-US" w:eastAsia="zh-CN" w:bidi="ar-SA"/>
        </w:rPr>
        <w:t>实用性村庄规划突出“管用、实用、好用”导向，其成果需与国土空间规划“一张图”实施监督系统精准对接，实现动态监测与评估。规划编制中，既要严守生态保护红线，筑牢粮食安全与生态安全双底线，又要将生态修复、污染防治纳入整体框架；通过统一空间基准、协调管控规则，有效消除空间矛盾。</w:t>
      </w:r>
    </w:p>
    <w:p w14:paraId="64C6C879">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default" w:ascii="仿宋_GB2312" w:hAnsi="仿宋_GB2312" w:eastAsia="仿宋_GB2312" w:cs="仿宋_GB2312"/>
          <w:color w:val="auto"/>
          <w:kern w:val="2"/>
          <w:sz w:val="32"/>
          <w:szCs w:val="32"/>
          <w:highlight w:val="none"/>
          <w:lang w:val="en-US" w:eastAsia="zh-CN" w:bidi="ar-SA"/>
        </w:rPr>
        <w:t>“多规合一”实用性村庄规划是国家治理体系现代化在乡村空间的具体实践，通过整合空间资源、协调利益诉求、强化实施保障，正推动乡村发展从“被动建设”向“主动发展”转型，为实现乡村振兴与城乡融合提供了科学高效的空间治理新范式。</w:t>
      </w:r>
    </w:p>
    <w:p w14:paraId="752FDB1E">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近年来，扶风县委、县政府高度重视村庄规划推进工作，为进一步</w:t>
      </w:r>
      <w:r>
        <w:rPr>
          <w:rFonts w:hint="default" w:ascii="仿宋_GB2312" w:hAnsi="仿宋_GB2312" w:eastAsia="仿宋_GB2312" w:cs="仿宋_GB2312"/>
          <w:color w:val="auto"/>
          <w:kern w:val="2"/>
          <w:sz w:val="32"/>
          <w:szCs w:val="32"/>
          <w:highlight w:val="none"/>
          <w:lang w:val="en-US" w:eastAsia="zh-CN" w:bidi="ar-SA"/>
        </w:rPr>
        <w:t>深入贯彻落实国家</w:t>
      </w:r>
      <w:r>
        <w:rPr>
          <w:rFonts w:hint="eastAsia" w:ascii="仿宋_GB2312" w:hAnsi="仿宋_GB2312" w:eastAsia="仿宋_GB2312" w:cs="仿宋_GB2312"/>
          <w:color w:val="auto"/>
          <w:kern w:val="2"/>
          <w:sz w:val="32"/>
          <w:szCs w:val="32"/>
          <w:highlight w:val="none"/>
          <w:lang w:val="en-US" w:eastAsia="zh-CN" w:bidi="ar-SA"/>
        </w:rPr>
        <w:t>落实省、市、县关于乡村建设行动有关文件精神要求，加快推进扶风县村庄规划编制和管理工作，按照《宝鸡市村庄规划推进方案》《扶风县乡村建设行动方案》的安排部署，2023年2月15日，扶风县人民政府办公室向各镇人民政府、街道办事处、县政府有关工作部门印发了《关于印发《扶风县村庄规划推进方案》的通知》（扶政办发〔2023〕6号）文件，对村庄规划项目实施的总体目标、重点任务、保证措施等提出了要求</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该方案</w:t>
      </w:r>
      <w:r>
        <w:rPr>
          <w:rFonts w:hint="default" w:ascii="仿宋_GB2312" w:hAnsi="仿宋_GB2312" w:eastAsia="仿宋_GB2312" w:cs="仿宋_GB2312"/>
          <w:color w:val="auto"/>
          <w:kern w:val="2"/>
          <w:sz w:val="32"/>
          <w:szCs w:val="32"/>
          <w:highlight w:val="none"/>
          <w:lang w:val="en-US" w:eastAsia="zh-CN" w:bidi="ar-SA"/>
        </w:rPr>
        <w:t>旨在通过系统性规划编制与管理革新，实现多重战略目标</w:t>
      </w:r>
      <w:r>
        <w:rPr>
          <w:rFonts w:hint="eastAsia" w:ascii="仿宋_GB2312" w:hAnsi="仿宋_GB2312" w:eastAsia="仿宋_GB2312" w:cs="仿宋_GB2312"/>
          <w:color w:val="auto"/>
          <w:kern w:val="2"/>
          <w:sz w:val="32"/>
          <w:szCs w:val="32"/>
          <w:highlight w:val="none"/>
          <w:lang w:val="en-US" w:eastAsia="zh-CN" w:bidi="ar-SA"/>
        </w:rPr>
        <w:t>，同时为县域乡村振兴提供了空间治理的制度框架与实践路径。2024年共安排专项资金500.00万元，为提升村庄空间治理效能和助力县域经济社会高质量发展提供了资金保障。</w:t>
      </w:r>
    </w:p>
    <w:p w14:paraId="1378870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（二）项目基本情况</w:t>
      </w:r>
    </w:p>
    <w:p w14:paraId="7D90A9B6">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项目名称：2024年扶风县“多规合一”实用性村庄规</w:t>
      </w:r>
    </w:p>
    <w:p w14:paraId="2FD1D021">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2584" w:firstLineChars="8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zh-CN" w:eastAsia="zh-CN" w:bidi="ar-SA"/>
        </w:rPr>
        <w:t>划编制项目</w:t>
      </w:r>
    </w:p>
    <w:p w14:paraId="410D767E">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2.主管部门：扶风县自然资源局</w:t>
      </w:r>
    </w:p>
    <w:p w14:paraId="1231709E">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3.实施</w:t>
      </w:r>
      <w:r>
        <w:rPr>
          <w:rFonts w:hint="eastAsia" w:ascii="仿宋_GB2312" w:hAnsi="仿宋_GB2312" w:eastAsia="仿宋_GB2312" w:cs="仿宋_GB2312"/>
          <w:color w:val="auto"/>
          <w:kern w:val="2"/>
          <w:sz w:val="32"/>
          <w:szCs w:val="32"/>
          <w:highlight w:val="none"/>
          <w:lang w:val="zh-CN" w:eastAsia="zh-CN" w:bidi="ar-SA"/>
        </w:rPr>
        <w:t>单位：</w:t>
      </w:r>
      <w:r>
        <w:rPr>
          <w:rFonts w:hint="eastAsia" w:ascii="仿宋_GB2312" w:hAnsi="仿宋_GB2312" w:eastAsia="仿宋_GB2312" w:cs="仿宋_GB2312"/>
          <w:color w:val="auto"/>
          <w:kern w:val="2"/>
          <w:sz w:val="32"/>
          <w:szCs w:val="32"/>
          <w:highlight w:val="none"/>
          <w:lang w:val="en-US" w:eastAsia="zh-CN" w:bidi="ar-SA"/>
        </w:rPr>
        <w:t>扶风县自然资源局</w:t>
      </w:r>
    </w:p>
    <w:p w14:paraId="0BD8715B">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4.实施</w:t>
      </w:r>
      <w:r>
        <w:rPr>
          <w:rFonts w:hint="eastAsia" w:ascii="仿宋_GB2312" w:hAnsi="仿宋_GB2312" w:eastAsia="仿宋_GB2312" w:cs="仿宋_GB2312"/>
          <w:color w:val="auto"/>
          <w:kern w:val="2"/>
          <w:sz w:val="32"/>
          <w:szCs w:val="32"/>
          <w:highlight w:val="none"/>
          <w:lang w:val="zh-CN" w:eastAsia="zh-CN" w:bidi="ar-SA"/>
        </w:rPr>
        <w:t>地点：</w:t>
      </w:r>
      <w:r>
        <w:rPr>
          <w:rFonts w:hint="eastAsia" w:ascii="仿宋_GB2312" w:hAnsi="仿宋_GB2312" w:eastAsia="仿宋_GB2312" w:cs="仿宋_GB2312"/>
          <w:color w:val="auto"/>
          <w:kern w:val="2"/>
          <w:sz w:val="32"/>
          <w:szCs w:val="32"/>
          <w:highlight w:val="none"/>
          <w:lang w:val="en-US" w:eastAsia="zh-CN" w:bidi="ar-SA"/>
        </w:rPr>
        <w:t>扶风县</w:t>
      </w:r>
    </w:p>
    <w:p w14:paraId="007CE70B">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项目内容：编制5个（天度镇、召工镇、杏林镇、午井镇、段家镇）镇级国土空间规划，编制35个（天度镇南阳村、韩家窑村、闫马村、齐横村、下寨村、鲁马村、侯李村、强家村，召公镇召首村、后董村、吴家村、召光村、西吕村，杏林镇杨家沟村、长命寺村、良峪村、西坡村、三官庙村，午井镇:强家沟村、高望寺村、小寨村、吕家庄村、官坡村，段家镇：咎樊村、大同村、青龙村、沟老村，城关街道办：西官村、黄甫村，绛帐镇：凤鸣村、西渠村、龙渠寺村、罗家村、上宋村）实用性村庄规划。</w:t>
      </w:r>
    </w:p>
    <w:p w14:paraId="5CB2E563">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6.预算资金：500.00万元</w:t>
      </w:r>
    </w:p>
    <w:p w14:paraId="374BA115">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7.资金来源：中省财政衔接补助资金</w:t>
      </w:r>
    </w:p>
    <w:p w14:paraId="38A348E4">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8.预期效益及作用：</w:t>
      </w:r>
      <w:r>
        <w:rPr>
          <w:rFonts w:hint="default" w:ascii="仿宋_GB2312" w:hAnsi="仿宋_GB2312" w:eastAsia="仿宋_GB2312" w:cs="仿宋_GB2312"/>
          <w:color w:val="auto"/>
          <w:kern w:val="2"/>
          <w:sz w:val="32"/>
          <w:szCs w:val="32"/>
          <w:highlight w:val="none"/>
          <w:lang w:val="en-US" w:eastAsia="zh-CN" w:bidi="ar-SA"/>
        </w:rPr>
        <w:t>该项目实施后，能优化城乡空间配置，盘活土地资源并降低设施成本</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激活城乡要素流动，带动资本</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人才互动及农产品增值</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推动产业融合，提升农产品附加值与文旅收入</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强化生态文化保护，筑牢生态屏障并传承文化</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提升乡村治理效能，提高村民参与度与治理效率</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改善民生福祉，增加就业与收入，助力共同富裕，为扶风县乡村振兴提供核心支撑</w:t>
      </w:r>
      <w:r>
        <w:rPr>
          <w:rFonts w:hint="eastAsia" w:ascii="仿宋_GB2312" w:hAnsi="仿宋_GB2312" w:eastAsia="仿宋_GB2312" w:cs="仿宋_GB2312"/>
          <w:color w:val="auto"/>
          <w:kern w:val="2"/>
          <w:sz w:val="32"/>
          <w:szCs w:val="32"/>
          <w:highlight w:val="none"/>
          <w:lang w:val="en-US" w:eastAsia="zh-CN" w:bidi="ar-SA"/>
        </w:rPr>
        <w:t>。</w:t>
      </w:r>
    </w:p>
    <w:p w14:paraId="4376703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color w:val="auto"/>
          <w:kern w:val="2"/>
          <w:sz w:val="32"/>
          <w:szCs w:val="32"/>
          <w:highlight w:val="none"/>
          <w:lang w:val="en-US" w:eastAsia="zh-CN" w:bidi="ar-SA"/>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rPr>
        <w:t>安排情况</w:t>
      </w:r>
    </w:p>
    <w:p w14:paraId="1AB14D6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1.项目资金预算情况</w:t>
      </w:r>
    </w:p>
    <w:p w14:paraId="3876D11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2024年2月9日，扶风县财政局以《关于下达2024年上级专项转移支付预算指标的通知》（扶财办农〔2024〕1号）文件下达专项资金500.00万元。详见表1。</w:t>
      </w:r>
    </w:p>
    <w:p w14:paraId="7D82740E">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       表1  项目资金计划情况表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 xml:space="preserve">   单位：万元</w:t>
      </w:r>
    </w:p>
    <w:tbl>
      <w:tblPr>
        <w:tblStyle w:val="18"/>
        <w:tblW w:w="8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300"/>
        <w:gridCol w:w="966"/>
        <w:gridCol w:w="2442"/>
        <w:gridCol w:w="1500"/>
        <w:gridCol w:w="1716"/>
      </w:tblGrid>
      <w:tr w14:paraId="00DE8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17" w:type="dxa"/>
            <w:tcBorders>
              <w:left w:val="nil"/>
              <w:bottom w:val="single" w:color="auto" w:sz="4" w:space="0"/>
              <w:right w:val="single" w:color="auto" w:sz="4" w:space="0"/>
            </w:tcBorders>
            <w:shd w:val="clear" w:color="auto" w:fill="D7D7D7"/>
            <w:noWrap w:val="0"/>
            <w:vAlign w:val="center"/>
          </w:tcPr>
          <w:p w14:paraId="4111EF63">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1300" w:type="dxa"/>
            <w:tcBorders>
              <w:left w:val="single" w:color="auto" w:sz="4" w:space="0"/>
              <w:bottom w:val="single" w:color="auto" w:sz="4" w:space="0"/>
              <w:right w:val="single" w:color="000000" w:sz="4" w:space="0"/>
            </w:tcBorders>
            <w:shd w:val="clear" w:color="auto" w:fill="D7D7D7"/>
            <w:noWrap w:val="0"/>
            <w:vAlign w:val="center"/>
          </w:tcPr>
          <w:p w14:paraId="50BB03E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资金来源</w:t>
            </w:r>
          </w:p>
        </w:tc>
        <w:tc>
          <w:tcPr>
            <w:tcW w:w="966" w:type="dxa"/>
            <w:tcBorders>
              <w:left w:val="single" w:color="000000" w:sz="4" w:space="0"/>
              <w:bottom w:val="single" w:color="auto" w:sz="4" w:space="0"/>
              <w:right w:val="single" w:color="auto" w:sz="4" w:space="0"/>
            </w:tcBorders>
            <w:shd w:val="clear" w:color="auto" w:fill="D7D7D7"/>
            <w:noWrap w:val="0"/>
            <w:vAlign w:val="center"/>
          </w:tcPr>
          <w:p w14:paraId="7285E74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财政预算金额</w:t>
            </w:r>
          </w:p>
        </w:tc>
        <w:tc>
          <w:tcPr>
            <w:tcW w:w="2442" w:type="dxa"/>
            <w:tcBorders>
              <w:left w:val="single" w:color="auto" w:sz="4" w:space="0"/>
              <w:bottom w:val="single" w:color="auto" w:sz="4" w:space="0"/>
              <w:right w:val="nil"/>
            </w:tcBorders>
            <w:shd w:val="clear" w:color="auto" w:fill="D7D7D7"/>
            <w:noWrap w:val="0"/>
            <w:vAlign w:val="center"/>
          </w:tcPr>
          <w:p w14:paraId="6C7CF3F6">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实施内容</w:t>
            </w:r>
          </w:p>
        </w:tc>
        <w:tc>
          <w:tcPr>
            <w:tcW w:w="1500" w:type="dxa"/>
            <w:tcBorders>
              <w:left w:val="single" w:color="auto" w:sz="4" w:space="0"/>
              <w:bottom w:val="single" w:color="auto" w:sz="4" w:space="0"/>
              <w:right w:val="nil"/>
            </w:tcBorders>
            <w:shd w:val="clear" w:color="auto" w:fill="D7D7D7"/>
            <w:noWrap w:val="0"/>
            <w:vAlign w:val="center"/>
          </w:tcPr>
          <w:p w14:paraId="0615FB18">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资金下达文号</w:t>
            </w:r>
          </w:p>
        </w:tc>
        <w:tc>
          <w:tcPr>
            <w:tcW w:w="1716" w:type="dxa"/>
            <w:tcBorders>
              <w:left w:val="single" w:color="auto" w:sz="4" w:space="0"/>
              <w:bottom w:val="single" w:color="auto" w:sz="4" w:space="0"/>
              <w:right w:val="nil"/>
            </w:tcBorders>
            <w:shd w:val="clear" w:color="auto" w:fill="D7D7D7"/>
            <w:noWrap w:val="0"/>
            <w:vAlign w:val="center"/>
          </w:tcPr>
          <w:p w14:paraId="73D6339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下达日期</w:t>
            </w:r>
          </w:p>
        </w:tc>
      </w:tr>
      <w:tr w14:paraId="7BDA3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417" w:type="dxa"/>
            <w:tcBorders>
              <w:top w:val="single" w:color="auto" w:sz="4" w:space="0"/>
              <w:left w:val="nil"/>
              <w:right w:val="single" w:color="auto" w:sz="4" w:space="0"/>
            </w:tcBorders>
            <w:shd w:val="clear" w:color="auto" w:fill="auto"/>
            <w:noWrap w:val="0"/>
            <w:vAlign w:val="center"/>
          </w:tcPr>
          <w:p w14:paraId="741FE558">
            <w:pPr>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1300" w:type="dxa"/>
            <w:tcBorders>
              <w:top w:val="single" w:color="auto" w:sz="4" w:space="0"/>
              <w:left w:val="single" w:color="auto" w:sz="4" w:space="0"/>
              <w:right w:val="single" w:color="000000" w:sz="4" w:space="0"/>
            </w:tcBorders>
            <w:shd w:val="clear" w:color="auto" w:fill="auto"/>
            <w:noWrap w:val="0"/>
            <w:vAlign w:val="center"/>
          </w:tcPr>
          <w:p w14:paraId="627D13E5">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中省财政衔接补助资金</w:t>
            </w:r>
          </w:p>
        </w:tc>
        <w:tc>
          <w:tcPr>
            <w:tcW w:w="966"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301C706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500.00</w:t>
            </w:r>
          </w:p>
        </w:tc>
        <w:tc>
          <w:tcPr>
            <w:tcW w:w="2442" w:type="dxa"/>
            <w:tcBorders>
              <w:top w:val="single" w:color="auto" w:sz="4" w:space="0"/>
              <w:left w:val="single" w:color="auto" w:sz="4" w:space="0"/>
              <w:bottom w:val="single" w:color="auto" w:sz="4" w:space="0"/>
              <w:right w:val="nil"/>
            </w:tcBorders>
            <w:shd w:val="clear" w:color="auto" w:fill="auto"/>
            <w:noWrap w:val="0"/>
            <w:vAlign w:val="center"/>
          </w:tcPr>
          <w:p w14:paraId="1054768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编制天度镇、召工镇等5个镇级国土空间规划、编制绛帐镇凤鸣村、西渠村、龙渠寺村等35个村的实用性村庄规划。</w:t>
            </w:r>
          </w:p>
        </w:tc>
        <w:tc>
          <w:tcPr>
            <w:tcW w:w="1500" w:type="dxa"/>
            <w:tcBorders>
              <w:top w:val="single" w:color="auto" w:sz="4" w:space="0"/>
              <w:left w:val="single" w:color="auto" w:sz="4" w:space="0"/>
              <w:right w:val="nil"/>
            </w:tcBorders>
            <w:shd w:val="clear" w:color="auto" w:fill="auto"/>
            <w:noWrap w:val="0"/>
            <w:vAlign w:val="center"/>
          </w:tcPr>
          <w:p w14:paraId="069C0369">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扶财办农〔2024〕1号</w:t>
            </w:r>
          </w:p>
        </w:tc>
        <w:tc>
          <w:tcPr>
            <w:tcW w:w="1716" w:type="dxa"/>
            <w:tcBorders>
              <w:top w:val="single" w:color="auto" w:sz="4" w:space="0"/>
              <w:left w:val="single" w:color="auto" w:sz="4" w:space="0"/>
              <w:bottom w:val="single" w:color="auto" w:sz="4" w:space="0"/>
              <w:right w:val="nil"/>
            </w:tcBorders>
            <w:shd w:val="clear" w:color="auto" w:fill="auto"/>
            <w:noWrap w:val="0"/>
            <w:vAlign w:val="center"/>
          </w:tcPr>
          <w:p w14:paraId="12B9EB1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2024年2月9日</w:t>
            </w:r>
          </w:p>
        </w:tc>
      </w:tr>
    </w:tbl>
    <w:p w14:paraId="06AAC20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2.项目资金到位情况</w:t>
      </w:r>
    </w:p>
    <w:p w14:paraId="5D67C57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2024年2月9日，扶风县财政局拨付扶风县自然资源局专项资金500.00万元，</w:t>
      </w:r>
      <w:r>
        <w:rPr>
          <w:rFonts w:hint="eastAsia" w:ascii="仿宋_GB2312" w:hAnsi="仿宋_GB2312" w:eastAsia="仿宋_GB2312" w:cs="仿宋_GB2312"/>
          <w:color w:val="auto"/>
          <w:sz w:val="32"/>
          <w:szCs w:val="32"/>
          <w:highlight w:val="none"/>
          <w:lang w:val="en-US" w:eastAsia="zh-CN" w:bidi="ar-SA"/>
        </w:rPr>
        <w:t>资金到位率为100%</w:t>
      </w:r>
      <w:r>
        <w:rPr>
          <w:rFonts w:hint="eastAsia" w:ascii="仿宋_GB2312" w:hAnsi="仿宋_GB2312" w:eastAsia="仿宋_GB2312" w:cs="仿宋_GB2312"/>
          <w:color w:val="auto"/>
          <w:kern w:val="2"/>
          <w:sz w:val="32"/>
          <w:szCs w:val="32"/>
          <w:highlight w:val="none"/>
          <w:lang w:val="en-US" w:eastAsia="zh-CN" w:bidi="ar-SA"/>
        </w:rPr>
        <w:t>。详见表2。</w:t>
      </w:r>
    </w:p>
    <w:p w14:paraId="357FD0B0">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     表2  项目预算资金到位情况表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单位：万元</w:t>
      </w:r>
    </w:p>
    <w:tbl>
      <w:tblPr>
        <w:tblStyle w:val="18"/>
        <w:tblpPr w:leftFromText="181" w:rightFromText="181" w:vertAnchor="text" w:horzAnchor="page" w:tblpX="1668" w:tblpY="114"/>
        <w:tblOverlap w:val="never"/>
        <w:tblW w:w="86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330"/>
        <w:gridCol w:w="1611"/>
        <w:gridCol w:w="1117"/>
        <w:gridCol w:w="933"/>
        <w:gridCol w:w="1663"/>
        <w:gridCol w:w="1554"/>
      </w:tblGrid>
      <w:tr w14:paraId="053FD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89" w:type="dxa"/>
            <w:tcBorders>
              <w:left w:val="nil"/>
              <w:bottom w:val="single" w:color="auto" w:sz="4" w:space="0"/>
              <w:right w:val="single" w:color="auto" w:sz="4" w:space="0"/>
            </w:tcBorders>
            <w:shd w:val="clear" w:color="auto" w:fill="D7D7D7"/>
            <w:noWrap w:val="0"/>
            <w:vAlign w:val="center"/>
          </w:tcPr>
          <w:p w14:paraId="17C42CD0">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1330" w:type="dxa"/>
            <w:tcBorders>
              <w:left w:val="single" w:color="auto" w:sz="4" w:space="0"/>
              <w:bottom w:val="single" w:color="auto" w:sz="4" w:space="0"/>
              <w:right w:val="single" w:color="000000" w:sz="4" w:space="0"/>
            </w:tcBorders>
            <w:shd w:val="clear" w:color="auto" w:fill="D7D7D7"/>
            <w:noWrap w:val="0"/>
            <w:vAlign w:val="center"/>
          </w:tcPr>
          <w:p w14:paraId="467C21C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资金来源</w:t>
            </w:r>
          </w:p>
        </w:tc>
        <w:tc>
          <w:tcPr>
            <w:tcW w:w="1611" w:type="dxa"/>
            <w:tcBorders>
              <w:left w:val="single" w:color="000000" w:sz="4" w:space="0"/>
              <w:bottom w:val="single" w:color="auto" w:sz="4" w:space="0"/>
              <w:right w:val="single" w:color="auto" w:sz="4" w:space="0"/>
            </w:tcBorders>
            <w:shd w:val="clear" w:color="auto" w:fill="D7D7D7"/>
            <w:noWrap w:val="0"/>
            <w:vAlign w:val="center"/>
          </w:tcPr>
          <w:p w14:paraId="28AC3E6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财政预算金额</w:t>
            </w:r>
          </w:p>
        </w:tc>
        <w:tc>
          <w:tcPr>
            <w:tcW w:w="1117" w:type="dxa"/>
            <w:tcBorders>
              <w:left w:val="single" w:color="auto" w:sz="4" w:space="0"/>
              <w:bottom w:val="single" w:color="auto" w:sz="4" w:space="0"/>
              <w:right w:val="nil"/>
            </w:tcBorders>
            <w:shd w:val="clear" w:color="auto" w:fill="D7D7D7"/>
            <w:noWrap w:val="0"/>
            <w:vAlign w:val="center"/>
          </w:tcPr>
          <w:p w14:paraId="14E81015">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到位资金</w:t>
            </w:r>
          </w:p>
        </w:tc>
        <w:tc>
          <w:tcPr>
            <w:tcW w:w="933" w:type="dxa"/>
            <w:tcBorders>
              <w:left w:val="single" w:color="auto" w:sz="4" w:space="0"/>
              <w:bottom w:val="single" w:color="auto" w:sz="4" w:space="0"/>
              <w:right w:val="nil"/>
            </w:tcBorders>
            <w:shd w:val="clear" w:color="auto" w:fill="D7D7D7"/>
            <w:noWrap w:val="0"/>
            <w:vAlign w:val="center"/>
          </w:tcPr>
          <w:p w14:paraId="295C820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1"/>
                <w:szCs w:val="21"/>
                <w:highlight w:val="none"/>
                <w:vertAlign w:val="baseline"/>
                <w:lang w:val="en-US" w:eastAsia="zh-CN"/>
              </w:rPr>
              <w:t>到位率</w:t>
            </w:r>
          </w:p>
        </w:tc>
        <w:tc>
          <w:tcPr>
            <w:tcW w:w="1663" w:type="dxa"/>
            <w:tcBorders>
              <w:left w:val="single" w:color="auto" w:sz="4" w:space="0"/>
              <w:bottom w:val="single" w:color="auto" w:sz="4" w:space="0"/>
              <w:right w:val="nil"/>
            </w:tcBorders>
            <w:shd w:val="clear" w:color="auto" w:fill="D7D7D7"/>
            <w:noWrap w:val="0"/>
            <w:vAlign w:val="center"/>
          </w:tcPr>
          <w:p w14:paraId="74C271C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到位日期</w:t>
            </w:r>
          </w:p>
        </w:tc>
        <w:tc>
          <w:tcPr>
            <w:tcW w:w="1554" w:type="dxa"/>
            <w:tcBorders>
              <w:left w:val="single" w:color="auto" w:sz="4" w:space="0"/>
              <w:bottom w:val="single" w:color="auto" w:sz="4" w:space="0"/>
              <w:right w:val="nil"/>
            </w:tcBorders>
            <w:shd w:val="clear" w:color="auto" w:fill="D7D7D7"/>
            <w:noWrap w:val="0"/>
            <w:vAlign w:val="center"/>
          </w:tcPr>
          <w:p w14:paraId="7D10B98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资金下达文号</w:t>
            </w:r>
          </w:p>
        </w:tc>
      </w:tr>
      <w:tr w14:paraId="69F53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89" w:type="dxa"/>
            <w:tcBorders>
              <w:top w:val="single" w:color="auto" w:sz="4" w:space="0"/>
              <w:left w:val="nil"/>
              <w:right w:val="single" w:color="auto" w:sz="4" w:space="0"/>
            </w:tcBorders>
            <w:shd w:val="clear" w:color="auto" w:fill="auto"/>
            <w:noWrap w:val="0"/>
            <w:vAlign w:val="center"/>
          </w:tcPr>
          <w:p w14:paraId="242612B9">
            <w:pPr>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1330" w:type="dxa"/>
            <w:tcBorders>
              <w:top w:val="single" w:color="auto" w:sz="4" w:space="0"/>
              <w:left w:val="single" w:color="auto" w:sz="4" w:space="0"/>
              <w:right w:val="single" w:color="000000" w:sz="4" w:space="0"/>
            </w:tcBorders>
            <w:shd w:val="clear" w:color="auto" w:fill="auto"/>
            <w:noWrap w:val="0"/>
            <w:vAlign w:val="center"/>
          </w:tcPr>
          <w:p w14:paraId="0BDEB68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sz w:val="21"/>
                <w:szCs w:val="21"/>
                <w:highlight w:val="none"/>
                <w:vertAlign w:val="baseline"/>
                <w:lang w:val="en-US" w:eastAsia="zh-CN"/>
              </w:rPr>
              <w:t>中省财政衔接补助资金</w:t>
            </w:r>
          </w:p>
        </w:tc>
        <w:tc>
          <w:tcPr>
            <w:tcW w:w="1611"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106EDED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sz w:val="21"/>
                <w:szCs w:val="21"/>
                <w:highlight w:val="none"/>
                <w:vertAlign w:val="baseline"/>
                <w:lang w:val="en-US" w:eastAsia="zh-CN"/>
              </w:rPr>
              <w:t>500.00</w:t>
            </w:r>
          </w:p>
        </w:tc>
        <w:tc>
          <w:tcPr>
            <w:tcW w:w="1117" w:type="dxa"/>
            <w:tcBorders>
              <w:top w:val="single" w:color="auto" w:sz="4" w:space="0"/>
              <w:left w:val="single" w:color="auto" w:sz="4" w:space="0"/>
              <w:bottom w:val="single" w:color="auto" w:sz="4" w:space="0"/>
              <w:right w:val="nil"/>
            </w:tcBorders>
            <w:shd w:val="clear" w:color="auto" w:fill="auto"/>
            <w:noWrap w:val="0"/>
            <w:vAlign w:val="center"/>
          </w:tcPr>
          <w:p w14:paraId="431304A3">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sz w:val="21"/>
                <w:szCs w:val="21"/>
                <w:highlight w:val="none"/>
                <w:vertAlign w:val="baseline"/>
                <w:lang w:val="en-US" w:eastAsia="zh-CN"/>
              </w:rPr>
              <w:t>500.00</w:t>
            </w:r>
          </w:p>
        </w:tc>
        <w:tc>
          <w:tcPr>
            <w:tcW w:w="933" w:type="dxa"/>
            <w:tcBorders>
              <w:top w:val="single" w:color="auto" w:sz="4" w:space="0"/>
              <w:left w:val="single" w:color="auto" w:sz="4" w:space="0"/>
              <w:right w:val="nil"/>
            </w:tcBorders>
            <w:shd w:val="clear" w:color="auto" w:fill="auto"/>
            <w:noWrap w:val="0"/>
            <w:vAlign w:val="center"/>
          </w:tcPr>
          <w:p w14:paraId="7B9B0E35">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100%</w:t>
            </w:r>
          </w:p>
        </w:tc>
        <w:tc>
          <w:tcPr>
            <w:tcW w:w="1663" w:type="dxa"/>
            <w:tcBorders>
              <w:top w:val="single" w:color="auto" w:sz="4" w:space="0"/>
              <w:left w:val="single" w:color="auto" w:sz="4" w:space="0"/>
              <w:bottom w:val="single" w:color="auto" w:sz="4" w:space="0"/>
              <w:right w:val="nil"/>
            </w:tcBorders>
            <w:shd w:val="clear" w:color="auto" w:fill="auto"/>
            <w:noWrap w:val="0"/>
            <w:vAlign w:val="center"/>
          </w:tcPr>
          <w:p w14:paraId="20DAE005">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sz w:val="21"/>
                <w:szCs w:val="21"/>
                <w:highlight w:val="none"/>
                <w:vertAlign w:val="baseline"/>
                <w:lang w:val="en-US" w:eastAsia="zh-CN"/>
              </w:rPr>
              <w:t>2024年2月9日</w:t>
            </w:r>
          </w:p>
        </w:tc>
        <w:tc>
          <w:tcPr>
            <w:tcW w:w="1554" w:type="dxa"/>
            <w:tcBorders>
              <w:top w:val="single" w:color="auto" w:sz="4" w:space="0"/>
              <w:left w:val="single" w:color="auto" w:sz="4" w:space="0"/>
              <w:bottom w:val="single" w:color="auto" w:sz="4" w:space="0"/>
              <w:right w:val="nil"/>
            </w:tcBorders>
            <w:shd w:val="clear" w:color="auto" w:fill="auto"/>
            <w:noWrap w:val="0"/>
            <w:vAlign w:val="center"/>
          </w:tcPr>
          <w:p w14:paraId="0681E94D">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sz w:val="21"/>
                <w:szCs w:val="21"/>
                <w:highlight w:val="none"/>
                <w:vertAlign w:val="baseline"/>
                <w:lang w:val="en-US" w:eastAsia="zh-CN"/>
              </w:rPr>
              <w:t>扶财办农〔2024〕1号</w:t>
            </w:r>
          </w:p>
        </w:tc>
      </w:tr>
    </w:tbl>
    <w:p w14:paraId="18CB3738">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lang w:eastAsia="zh-CN"/>
        </w:rPr>
        <w:t>执行情况</w:t>
      </w:r>
    </w:p>
    <w:p w14:paraId="33596629">
      <w:pPr>
        <w:keepNext w:val="0"/>
        <w:keepLines w:val="0"/>
        <w:pageBreakBefore w:val="0"/>
        <w:widowControl w:val="0"/>
        <w:kinsoku/>
        <w:wordWrap/>
        <w:overflowPunct/>
        <w:topLinePunct w:val="0"/>
        <w:autoSpaceDE/>
        <w:autoSpaceDN/>
        <w:bidi w:val="0"/>
        <w:adjustRightInd/>
        <w:snapToGrid/>
        <w:spacing w:line="560" w:lineRule="exact"/>
        <w:ind w:left="0" w:leftChars="0" w:firstLine="622" w:firstLineChars="200"/>
        <w:textAlignment w:val="auto"/>
        <w:rPr>
          <w:rFonts w:hint="eastAsia" w:ascii="仿宋_GB2312" w:hAnsi="仿宋_GB2312" w:eastAsia="仿宋_GB2312" w:cs="仿宋_GB2312"/>
          <w:spacing w:val="-6"/>
          <w:kern w:val="2"/>
          <w:sz w:val="32"/>
          <w:szCs w:val="32"/>
          <w:highlight w:val="none"/>
          <w:lang w:val="en-US" w:eastAsia="zh-CN" w:bidi="ar-SA"/>
        </w:rPr>
      </w:pPr>
      <w:r>
        <w:rPr>
          <w:rFonts w:hint="default" w:ascii="仿宋_GB2312" w:hAnsi="仿宋_GB2312" w:eastAsia="仿宋_GB2312" w:cs="仿宋_GB2312"/>
          <w:spacing w:val="-6"/>
          <w:kern w:val="2"/>
          <w:sz w:val="32"/>
          <w:szCs w:val="32"/>
          <w:highlight w:val="none"/>
          <w:lang w:val="en-US" w:eastAsia="zh-CN" w:bidi="ar-SA"/>
        </w:rPr>
        <w:t>截至</w:t>
      </w:r>
      <w:r>
        <w:rPr>
          <w:rFonts w:hint="eastAsia" w:ascii="仿宋_GB2312" w:hAnsi="仿宋_GB2312" w:eastAsia="仿宋_GB2312" w:cs="仿宋_GB2312"/>
          <w:spacing w:val="-6"/>
          <w:kern w:val="2"/>
          <w:sz w:val="32"/>
          <w:szCs w:val="32"/>
          <w:highlight w:val="none"/>
          <w:lang w:val="en-US" w:eastAsia="zh-CN" w:bidi="ar-SA"/>
        </w:rPr>
        <w:t>评价日，项目预算资金5,000,000.00元已全部拨付到位，共支出各项资金4,999,999.99元，财政到位预算资金执行率约为100%。详见表3。</w:t>
      </w:r>
    </w:p>
    <w:p w14:paraId="45240D87">
      <w:pPr>
        <w:pStyle w:val="2"/>
        <w:rPr>
          <w:rFonts w:hint="eastAsia" w:ascii="仿宋_GB2312" w:hAnsi="仿宋_GB2312" w:eastAsia="仿宋_GB2312" w:cs="仿宋_GB2312"/>
          <w:spacing w:val="-6"/>
          <w:kern w:val="2"/>
          <w:sz w:val="32"/>
          <w:szCs w:val="32"/>
          <w:highlight w:val="none"/>
          <w:lang w:val="en-US" w:eastAsia="zh-CN" w:bidi="ar-SA"/>
        </w:rPr>
      </w:pPr>
    </w:p>
    <w:p w14:paraId="79820E94">
      <w:pPr>
        <w:keepNext w:val="0"/>
        <w:keepLines w:val="0"/>
        <w:pageBreakBefore w:val="0"/>
        <w:widowControl w:val="0"/>
        <w:kinsoku/>
        <w:wordWrap/>
        <w:overflowPunct/>
        <w:topLinePunct w:val="0"/>
        <w:autoSpaceDE/>
        <w:autoSpaceDN/>
        <w:bidi w:val="0"/>
        <w:adjustRightInd/>
        <w:snapToGrid/>
        <w:spacing w:line="560" w:lineRule="exact"/>
        <w:ind w:firstLine="2264" w:firstLineChars="80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表3-1  项目预算资金执行情况表    </w:t>
      </w:r>
      <w:r>
        <w:rPr>
          <w:rFonts w:hint="eastAsia" w:ascii="仿宋_GB2312" w:hAnsi="仿宋_GB2312" w:eastAsia="仿宋_GB2312" w:cs="仿宋_GB2312"/>
          <w:color w:val="auto"/>
          <w:sz w:val="21"/>
          <w:szCs w:val="21"/>
          <w:highlight w:val="none"/>
          <w:lang w:val="en-US" w:eastAsia="zh-CN"/>
        </w:rPr>
        <w:t>单位：元</w:t>
      </w:r>
    </w:p>
    <w:tbl>
      <w:tblPr>
        <w:tblStyle w:val="18"/>
        <w:tblW w:w="9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069"/>
        <w:gridCol w:w="1931"/>
        <w:gridCol w:w="1784"/>
        <w:gridCol w:w="1415"/>
      </w:tblGrid>
      <w:tr w14:paraId="37B9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820" w:type="dxa"/>
            <w:tcBorders>
              <w:left w:val="nil"/>
              <w:bottom w:val="single" w:color="auto" w:sz="4" w:space="0"/>
              <w:right w:val="single" w:color="auto" w:sz="4" w:space="0"/>
            </w:tcBorders>
            <w:shd w:val="clear" w:color="auto" w:fill="D7D7D7"/>
            <w:noWrap w:val="0"/>
            <w:vAlign w:val="center"/>
          </w:tcPr>
          <w:p w14:paraId="43B76CE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3069" w:type="dxa"/>
            <w:tcBorders>
              <w:left w:val="single" w:color="auto" w:sz="4" w:space="0"/>
              <w:bottom w:val="single" w:color="auto" w:sz="4" w:space="0"/>
              <w:right w:val="single" w:color="auto" w:sz="4" w:space="0"/>
            </w:tcBorders>
            <w:shd w:val="clear" w:color="auto" w:fill="D7D7D7"/>
            <w:noWrap w:val="0"/>
            <w:vAlign w:val="center"/>
          </w:tcPr>
          <w:p w14:paraId="2DE42A67">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项目名称</w:t>
            </w:r>
          </w:p>
        </w:tc>
        <w:tc>
          <w:tcPr>
            <w:tcW w:w="1931" w:type="dxa"/>
            <w:tcBorders>
              <w:left w:val="single" w:color="auto" w:sz="4" w:space="0"/>
              <w:bottom w:val="single" w:color="auto" w:sz="4" w:space="0"/>
              <w:right w:val="single" w:color="auto" w:sz="4" w:space="0"/>
            </w:tcBorders>
            <w:shd w:val="clear" w:color="auto" w:fill="D7D7D7"/>
            <w:noWrap w:val="0"/>
            <w:vAlign w:val="center"/>
          </w:tcPr>
          <w:p w14:paraId="44B773A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到位金额</w:t>
            </w:r>
          </w:p>
        </w:tc>
        <w:tc>
          <w:tcPr>
            <w:tcW w:w="1784" w:type="dxa"/>
            <w:tcBorders>
              <w:left w:val="single" w:color="000000" w:sz="4" w:space="0"/>
              <w:bottom w:val="single" w:color="auto" w:sz="4" w:space="0"/>
              <w:right w:val="single" w:color="000000" w:sz="4" w:space="0"/>
            </w:tcBorders>
            <w:shd w:val="clear" w:color="auto" w:fill="D7D7D7"/>
            <w:noWrap w:val="0"/>
            <w:vAlign w:val="center"/>
          </w:tcPr>
          <w:p w14:paraId="241AE2C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执行资金</w:t>
            </w:r>
          </w:p>
        </w:tc>
        <w:tc>
          <w:tcPr>
            <w:tcW w:w="1415" w:type="dxa"/>
            <w:tcBorders>
              <w:left w:val="single" w:color="auto" w:sz="4" w:space="0"/>
              <w:bottom w:val="single" w:color="auto" w:sz="4" w:space="0"/>
              <w:right w:val="nil"/>
            </w:tcBorders>
            <w:shd w:val="clear" w:color="auto" w:fill="D7D7D7"/>
            <w:noWrap w:val="0"/>
            <w:vAlign w:val="center"/>
          </w:tcPr>
          <w:p w14:paraId="48AAC259">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预算执行率</w:t>
            </w:r>
          </w:p>
        </w:tc>
      </w:tr>
      <w:tr w14:paraId="2FBDA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20" w:type="dxa"/>
            <w:tcBorders>
              <w:top w:val="single" w:color="auto" w:sz="4" w:space="0"/>
              <w:left w:val="nil"/>
              <w:bottom w:val="single" w:color="auto" w:sz="4" w:space="0"/>
              <w:right w:val="single" w:color="auto" w:sz="4" w:space="0"/>
            </w:tcBorders>
            <w:noWrap w:val="0"/>
            <w:vAlign w:val="center"/>
          </w:tcPr>
          <w:p w14:paraId="3393F0F9">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1</w:t>
            </w:r>
          </w:p>
        </w:tc>
        <w:tc>
          <w:tcPr>
            <w:tcW w:w="3069" w:type="dxa"/>
            <w:tcBorders>
              <w:top w:val="single" w:color="auto" w:sz="4" w:space="0"/>
              <w:left w:val="single" w:color="auto" w:sz="4" w:space="0"/>
              <w:bottom w:val="single" w:color="auto" w:sz="4" w:space="0"/>
              <w:right w:val="single" w:color="auto" w:sz="4" w:space="0"/>
            </w:tcBorders>
            <w:noWrap w:val="0"/>
            <w:vAlign w:val="center"/>
          </w:tcPr>
          <w:p w14:paraId="347590F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2024年扶风县“多规合一”实用性村庄规划编制项目</w:t>
            </w:r>
          </w:p>
        </w:tc>
        <w:tc>
          <w:tcPr>
            <w:tcW w:w="1931" w:type="dxa"/>
            <w:tcBorders>
              <w:top w:val="single" w:color="auto" w:sz="4" w:space="0"/>
              <w:left w:val="single" w:color="auto" w:sz="4" w:space="0"/>
              <w:bottom w:val="single" w:color="auto" w:sz="4" w:space="0"/>
              <w:right w:val="single" w:color="auto" w:sz="4" w:space="0"/>
            </w:tcBorders>
            <w:noWrap w:val="0"/>
            <w:vAlign w:val="center"/>
          </w:tcPr>
          <w:p w14:paraId="2612EB0E">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5,000,000.00</w:t>
            </w:r>
          </w:p>
        </w:tc>
        <w:tc>
          <w:tcPr>
            <w:tcW w:w="1784" w:type="dxa"/>
            <w:tcBorders>
              <w:top w:val="single" w:color="auto" w:sz="4" w:space="0"/>
              <w:left w:val="single" w:color="000000" w:sz="4" w:space="0"/>
              <w:bottom w:val="single" w:color="auto" w:sz="4" w:space="0"/>
              <w:right w:val="single" w:color="000000" w:sz="4" w:space="0"/>
            </w:tcBorders>
            <w:noWrap w:val="0"/>
            <w:vAlign w:val="center"/>
          </w:tcPr>
          <w:p w14:paraId="5D9EA96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4,999,999.99</w:t>
            </w:r>
          </w:p>
        </w:tc>
        <w:tc>
          <w:tcPr>
            <w:tcW w:w="1415" w:type="dxa"/>
            <w:tcBorders>
              <w:top w:val="single" w:color="auto" w:sz="4" w:space="0"/>
              <w:left w:val="single" w:color="auto" w:sz="4" w:space="0"/>
              <w:bottom w:val="single" w:color="auto" w:sz="4" w:space="0"/>
              <w:right w:val="nil"/>
            </w:tcBorders>
            <w:noWrap w:val="0"/>
            <w:vAlign w:val="center"/>
          </w:tcPr>
          <w:p w14:paraId="46FCAB7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vertAlign w:val="baseline"/>
                <w:lang w:val="en-US" w:eastAsia="zh-CN"/>
              </w:rPr>
              <w:t>100%</w:t>
            </w:r>
          </w:p>
        </w:tc>
      </w:tr>
    </w:tbl>
    <w:p w14:paraId="74221B6A">
      <w:pPr>
        <w:keepNext w:val="0"/>
        <w:keepLines w:val="0"/>
        <w:pageBreakBefore w:val="0"/>
        <w:widowControl w:val="0"/>
        <w:kinsoku/>
        <w:wordWrap/>
        <w:overflowPunct/>
        <w:topLinePunct w:val="0"/>
        <w:autoSpaceDE/>
        <w:autoSpaceDN/>
        <w:bidi w:val="0"/>
        <w:adjustRightInd/>
        <w:snapToGrid/>
        <w:spacing w:before="165" w:beforeLines="50" w:line="560" w:lineRule="exact"/>
        <w:ind w:firstLine="1698" w:firstLineChars="60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表3-2     项目预算资金执行情况明细表   </w:t>
      </w:r>
      <w:r>
        <w:rPr>
          <w:rFonts w:hint="eastAsia" w:ascii="仿宋_GB2312" w:hAnsi="仿宋_GB2312" w:eastAsia="仿宋_GB2312" w:cs="仿宋_GB2312"/>
          <w:color w:val="auto"/>
          <w:sz w:val="21"/>
          <w:szCs w:val="21"/>
          <w:highlight w:val="none"/>
          <w:lang w:val="en-US" w:eastAsia="zh-CN"/>
        </w:rPr>
        <w:t>单位：元</w:t>
      </w:r>
    </w:p>
    <w:tbl>
      <w:tblPr>
        <w:tblStyle w:val="17"/>
        <w:tblW w:w="894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28" w:type="dxa"/>
          <w:bottom w:w="0" w:type="dxa"/>
          <w:right w:w="28" w:type="dxa"/>
        </w:tblCellMar>
      </w:tblPr>
      <w:tblGrid>
        <w:gridCol w:w="396"/>
        <w:gridCol w:w="644"/>
        <w:gridCol w:w="1563"/>
        <w:gridCol w:w="1121"/>
        <w:gridCol w:w="1470"/>
        <w:gridCol w:w="1404"/>
        <w:gridCol w:w="928"/>
        <w:gridCol w:w="1419"/>
      </w:tblGrid>
      <w:tr w14:paraId="7D4BD3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52" w:hRule="atLeast"/>
          <w:tblHeader/>
          <w:jc w:val="center"/>
        </w:trPr>
        <w:tc>
          <w:tcPr>
            <w:tcW w:w="396" w:type="dxa"/>
            <w:shd w:val="clear" w:color="auto" w:fill="D7D7D7" w:themeFill="background1" w:themeFillShade="D8"/>
            <w:vAlign w:val="center"/>
          </w:tcPr>
          <w:p w14:paraId="07304B8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644" w:type="dxa"/>
            <w:shd w:val="clear" w:color="auto" w:fill="D7D7D7" w:themeFill="background1" w:themeFillShade="D8"/>
            <w:vAlign w:val="center"/>
          </w:tcPr>
          <w:p w14:paraId="098E432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项目名称</w:t>
            </w:r>
          </w:p>
        </w:tc>
        <w:tc>
          <w:tcPr>
            <w:tcW w:w="1563" w:type="dxa"/>
            <w:shd w:val="clear" w:color="auto" w:fill="D7D7D7" w:themeFill="background1" w:themeFillShade="D8"/>
            <w:vAlign w:val="center"/>
          </w:tcPr>
          <w:p w14:paraId="1FE9D13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标段名称</w:t>
            </w:r>
          </w:p>
        </w:tc>
        <w:tc>
          <w:tcPr>
            <w:tcW w:w="1121" w:type="dxa"/>
            <w:shd w:val="clear" w:color="auto" w:fill="D7D7D7" w:themeFill="background1" w:themeFillShade="D8"/>
            <w:vAlign w:val="center"/>
          </w:tcPr>
          <w:p w14:paraId="2E5E9374">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中标</w:t>
            </w:r>
          </w:p>
          <w:p w14:paraId="0AA1A5C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单位</w:t>
            </w:r>
          </w:p>
        </w:tc>
        <w:tc>
          <w:tcPr>
            <w:tcW w:w="1470" w:type="dxa"/>
            <w:shd w:val="clear" w:color="auto" w:fill="D7D7D7" w:themeFill="background1" w:themeFillShade="D8"/>
            <w:vAlign w:val="center"/>
          </w:tcPr>
          <w:p w14:paraId="568C86E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中标价</w:t>
            </w:r>
          </w:p>
        </w:tc>
        <w:tc>
          <w:tcPr>
            <w:tcW w:w="1404" w:type="dxa"/>
            <w:shd w:val="clear" w:color="auto" w:fill="D7D7D7" w:themeFill="background1" w:themeFillShade="D8"/>
            <w:noWrap/>
            <w:vAlign w:val="center"/>
          </w:tcPr>
          <w:p w14:paraId="62BDDFE3">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支付金额</w:t>
            </w:r>
          </w:p>
        </w:tc>
        <w:tc>
          <w:tcPr>
            <w:tcW w:w="928" w:type="dxa"/>
            <w:shd w:val="clear" w:color="auto" w:fill="D7D7D7" w:themeFill="background1" w:themeFillShade="D8"/>
            <w:vAlign w:val="center"/>
          </w:tcPr>
          <w:p w14:paraId="226D942A">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支付资金占中标价比例</w:t>
            </w:r>
          </w:p>
        </w:tc>
        <w:tc>
          <w:tcPr>
            <w:tcW w:w="1419" w:type="dxa"/>
            <w:shd w:val="clear" w:color="auto" w:fill="D7D7D7" w:themeFill="background1" w:themeFillShade="D8"/>
            <w:noWrap/>
            <w:vAlign w:val="center"/>
          </w:tcPr>
          <w:p w14:paraId="4B362BE2">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待支付资金</w:t>
            </w:r>
          </w:p>
        </w:tc>
      </w:tr>
      <w:tr w14:paraId="1353D2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7B86D3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644" w:type="dxa"/>
            <w:vMerge w:val="restart"/>
            <w:shd w:val="clear" w:color="auto" w:fill="auto"/>
            <w:vAlign w:val="center"/>
          </w:tcPr>
          <w:p w14:paraId="62EBBF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w:t>
            </w:r>
          </w:p>
        </w:tc>
        <w:tc>
          <w:tcPr>
            <w:tcW w:w="1563" w:type="dxa"/>
            <w:shd w:val="clear" w:color="auto" w:fill="auto"/>
            <w:vAlign w:val="center"/>
          </w:tcPr>
          <w:p w14:paraId="6A6E30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扶风县镇级国土空间规划和村庄规划编制项目Ⅰ标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段（天度镇）</w:t>
            </w:r>
          </w:p>
        </w:tc>
        <w:tc>
          <w:tcPr>
            <w:tcW w:w="1121" w:type="dxa"/>
            <w:shd w:val="clear" w:color="auto" w:fill="auto"/>
            <w:vAlign w:val="center"/>
          </w:tcPr>
          <w:p w14:paraId="5B73FB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中大设计集团有限公司</w:t>
            </w:r>
          </w:p>
        </w:tc>
        <w:tc>
          <w:tcPr>
            <w:tcW w:w="1470" w:type="dxa"/>
            <w:shd w:val="clear" w:color="auto" w:fill="auto"/>
            <w:vAlign w:val="center"/>
          </w:tcPr>
          <w:p w14:paraId="2AA96B0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534,000.00</w:t>
            </w:r>
          </w:p>
        </w:tc>
        <w:tc>
          <w:tcPr>
            <w:tcW w:w="1404" w:type="dxa"/>
            <w:shd w:val="clear" w:color="auto" w:fill="auto"/>
            <w:noWrap/>
            <w:vAlign w:val="center"/>
          </w:tcPr>
          <w:p w14:paraId="7BE891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213,600.00</w:t>
            </w:r>
          </w:p>
        </w:tc>
        <w:tc>
          <w:tcPr>
            <w:tcW w:w="928" w:type="dxa"/>
            <w:shd w:val="clear" w:color="auto" w:fill="auto"/>
            <w:noWrap/>
            <w:vAlign w:val="center"/>
          </w:tcPr>
          <w:p w14:paraId="3AA8BA5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40.00%</w:t>
            </w:r>
          </w:p>
        </w:tc>
        <w:tc>
          <w:tcPr>
            <w:tcW w:w="1419" w:type="dxa"/>
            <w:shd w:val="clear" w:color="auto" w:fill="auto"/>
            <w:noWrap/>
            <w:vAlign w:val="center"/>
          </w:tcPr>
          <w:p w14:paraId="2F76725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320,400.00</w:t>
            </w:r>
          </w:p>
        </w:tc>
      </w:tr>
      <w:tr w14:paraId="53607A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24C7DD7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644" w:type="dxa"/>
            <w:vMerge w:val="continue"/>
            <w:shd w:val="clear" w:color="auto" w:fill="auto"/>
            <w:vAlign w:val="center"/>
          </w:tcPr>
          <w:p w14:paraId="5223BE9E">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2471C8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w:t>
            </w:r>
            <w:r>
              <w:rPr>
                <w:rFonts w:hint="eastAsia" w:ascii="仿宋_GB2312" w:hAnsi="仿宋_GB2312" w:eastAsia="仿宋_GB2312" w:cs="仿宋_GB2312"/>
                <w:color w:val="000000"/>
                <w:sz w:val="21"/>
                <w:szCs w:val="21"/>
                <w:u w:val="none"/>
                <w:lang w:val="en-US" w:eastAsia="zh-CN" w:bidi="ar"/>
              </w:rPr>
              <w:t>II</w:t>
            </w:r>
            <w:r>
              <w:rPr>
                <w:rStyle w:val="24"/>
                <w:rFonts w:hint="eastAsia" w:ascii="仿宋_GB2312" w:hAnsi="仿宋_GB2312" w:eastAsia="仿宋_GB2312" w:cs="仿宋_GB2312"/>
                <w:sz w:val="21"/>
                <w:szCs w:val="21"/>
                <w:lang w:val="en-US" w:eastAsia="zh-CN" w:bidi="ar"/>
              </w:rPr>
              <w:t>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段（天度镇：南阳村、韩家窑村、晁留村）</w:t>
            </w:r>
          </w:p>
        </w:tc>
        <w:tc>
          <w:tcPr>
            <w:tcW w:w="1121" w:type="dxa"/>
            <w:shd w:val="clear" w:color="auto" w:fill="auto"/>
            <w:vAlign w:val="center"/>
          </w:tcPr>
          <w:p w14:paraId="40AFAA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中陕核工业集团地质调查院有</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限公司</w:t>
            </w:r>
          </w:p>
        </w:tc>
        <w:tc>
          <w:tcPr>
            <w:tcW w:w="1470" w:type="dxa"/>
            <w:shd w:val="clear" w:color="auto" w:fill="auto"/>
            <w:vAlign w:val="center"/>
          </w:tcPr>
          <w:p w14:paraId="7F9DEC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445,000.00</w:t>
            </w:r>
          </w:p>
        </w:tc>
        <w:tc>
          <w:tcPr>
            <w:tcW w:w="1404" w:type="dxa"/>
            <w:shd w:val="clear" w:color="auto" w:fill="auto"/>
            <w:noWrap/>
            <w:vAlign w:val="center"/>
          </w:tcPr>
          <w:p w14:paraId="00D3A08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353,098.62</w:t>
            </w:r>
          </w:p>
        </w:tc>
        <w:tc>
          <w:tcPr>
            <w:tcW w:w="928" w:type="dxa"/>
            <w:shd w:val="clear" w:color="auto" w:fill="auto"/>
            <w:noWrap/>
            <w:vAlign w:val="center"/>
          </w:tcPr>
          <w:p w14:paraId="2C0EBFA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79.35%</w:t>
            </w:r>
          </w:p>
        </w:tc>
        <w:tc>
          <w:tcPr>
            <w:tcW w:w="1419" w:type="dxa"/>
            <w:shd w:val="clear" w:color="auto" w:fill="auto"/>
            <w:noWrap/>
            <w:vAlign w:val="center"/>
          </w:tcPr>
          <w:p w14:paraId="071D60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91,901.38</w:t>
            </w:r>
          </w:p>
        </w:tc>
      </w:tr>
      <w:tr w14:paraId="67DA15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26711B1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644" w:type="dxa"/>
            <w:vMerge w:val="continue"/>
            <w:shd w:val="clear" w:color="auto" w:fill="auto"/>
            <w:vAlign w:val="center"/>
          </w:tcPr>
          <w:p w14:paraId="148205BA">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33F5DB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扶风县镇级国土空间规划和村庄规划编制项Ⅲ标段（召公镇）</w:t>
            </w:r>
          </w:p>
        </w:tc>
        <w:tc>
          <w:tcPr>
            <w:tcW w:w="1121" w:type="dxa"/>
            <w:shd w:val="clear" w:color="auto" w:fill="auto"/>
            <w:vAlign w:val="center"/>
          </w:tcPr>
          <w:p w14:paraId="7A7D0A9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中天设计集团有限公司</w:t>
            </w:r>
          </w:p>
        </w:tc>
        <w:tc>
          <w:tcPr>
            <w:tcW w:w="1470" w:type="dxa"/>
            <w:shd w:val="clear" w:color="auto" w:fill="auto"/>
            <w:vAlign w:val="center"/>
          </w:tcPr>
          <w:p w14:paraId="0148EA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530,000.00</w:t>
            </w:r>
          </w:p>
        </w:tc>
        <w:tc>
          <w:tcPr>
            <w:tcW w:w="1404" w:type="dxa"/>
            <w:shd w:val="clear" w:color="auto" w:fill="auto"/>
            <w:noWrap/>
            <w:vAlign w:val="center"/>
          </w:tcPr>
          <w:p w14:paraId="1BD2F7E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212,000.00</w:t>
            </w:r>
          </w:p>
        </w:tc>
        <w:tc>
          <w:tcPr>
            <w:tcW w:w="928" w:type="dxa"/>
            <w:shd w:val="clear" w:color="auto" w:fill="auto"/>
            <w:noWrap/>
            <w:vAlign w:val="center"/>
          </w:tcPr>
          <w:p w14:paraId="52A354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40.00%</w:t>
            </w:r>
          </w:p>
        </w:tc>
        <w:tc>
          <w:tcPr>
            <w:tcW w:w="1419" w:type="dxa"/>
            <w:shd w:val="clear" w:color="auto" w:fill="auto"/>
            <w:noWrap/>
            <w:vAlign w:val="center"/>
          </w:tcPr>
          <w:p w14:paraId="56794F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318,000.00</w:t>
            </w:r>
          </w:p>
        </w:tc>
      </w:tr>
      <w:tr w14:paraId="277839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710D6C2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644" w:type="dxa"/>
            <w:vMerge w:val="continue"/>
            <w:shd w:val="clear" w:color="auto" w:fill="auto"/>
            <w:vAlign w:val="center"/>
          </w:tcPr>
          <w:p w14:paraId="7F683E7D">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31B498A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扶风县镇级国土空间规划和村庄规划编制项目Ⅳ示</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段（召公镇：召首村、后董村）</w:t>
            </w:r>
          </w:p>
        </w:tc>
        <w:tc>
          <w:tcPr>
            <w:tcW w:w="1121" w:type="dxa"/>
            <w:shd w:val="clear" w:color="auto" w:fill="auto"/>
            <w:vAlign w:val="center"/>
          </w:tcPr>
          <w:p w14:paraId="0113F0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西安华泰测绘工程有限公司</w:t>
            </w:r>
          </w:p>
        </w:tc>
        <w:tc>
          <w:tcPr>
            <w:tcW w:w="1470" w:type="dxa"/>
            <w:shd w:val="clear" w:color="auto" w:fill="auto"/>
            <w:vAlign w:val="center"/>
          </w:tcPr>
          <w:p w14:paraId="4B9594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299,990.00</w:t>
            </w:r>
          </w:p>
        </w:tc>
        <w:tc>
          <w:tcPr>
            <w:tcW w:w="1404" w:type="dxa"/>
            <w:shd w:val="clear" w:color="auto" w:fill="auto"/>
            <w:noWrap/>
            <w:vAlign w:val="center"/>
          </w:tcPr>
          <w:p w14:paraId="636CDF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251,591.62</w:t>
            </w:r>
          </w:p>
        </w:tc>
        <w:tc>
          <w:tcPr>
            <w:tcW w:w="928" w:type="dxa"/>
            <w:shd w:val="clear" w:color="auto" w:fill="auto"/>
            <w:noWrap/>
            <w:vAlign w:val="center"/>
          </w:tcPr>
          <w:p w14:paraId="5F7773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83.87%</w:t>
            </w:r>
          </w:p>
        </w:tc>
        <w:tc>
          <w:tcPr>
            <w:tcW w:w="1419" w:type="dxa"/>
            <w:shd w:val="clear" w:color="auto" w:fill="auto"/>
            <w:noWrap/>
            <w:vAlign w:val="center"/>
          </w:tcPr>
          <w:p w14:paraId="4C2E600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48,398.38</w:t>
            </w:r>
          </w:p>
        </w:tc>
      </w:tr>
      <w:tr w14:paraId="7F3391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62D4ABF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644" w:type="dxa"/>
            <w:vMerge w:val="continue"/>
            <w:shd w:val="clear" w:color="auto" w:fill="auto"/>
            <w:vAlign w:val="center"/>
          </w:tcPr>
          <w:p w14:paraId="43EEB01F">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07D8AB5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扶风县镇级国土空间规划和村庄规划编制项目Ⅴ标段（杏林镇）</w:t>
            </w:r>
          </w:p>
        </w:tc>
        <w:tc>
          <w:tcPr>
            <w:tcW w:w="1121" w:type="dxa"/>
            <w:shd w:val="clear" w:color="auto" w:fill="auto"/>
            <w:vAlign w:val="center"/>
          </w:tcPr>
          <w:p w14:paraId="3706C0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陕西自然资源勘测规划设计院</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有限公司</w:t>
            </w:r>
          </w:p>
        </w:tc>
        <w:tc>
          <w:tcPr>
            <w:tcW w:w="1470" w:type="dxa"/>
            <w:shd w:val="clear" w:color="auto" w:fill="auto"/>
            <w:vAlign w:val="center"/>
          </w:tcPr>
          <w:p w14:paraId="08FA729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538,900.00</w:t>
            </w:r>
          </w:p>
        </w:tc>
        <w:tc>
          <w:tcPr>
            <w:tcW w:w="1404" w:type="dxa"/>
            <w:shd w:val="clear" w:color="auto" w:fill="auto"/>
            <w:noWrap/>
            <w:vAlign w:val="center"/>
          </w:tcPr>
          <w:p w14:paraId="6DC5B53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215,560.00</w:t>
            </w:r>
          </w:p>
        </w:tc>
        <w:tc>
          <w:tcPr>
            <w:tcW w:w="928" w:type="dxa"/>
            <w:shd w:val="clear" w:color="auto" w:fill="auto"/>
            <w:noWrap/>
            <w:vAlign w:val="center"/>
          </w:tcPr>
          <w:p w14:paraId="15FB5C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40.00%</w:t>
            </w:r>
          </w:p>
        </w:tc>
        <w:tc>
          <w:tcPr>
            <w:tcW w:w="1419" w:type="dxa"/>
            <w:shd w:val="clear" w:color="auto" w:fill="auto"/>
            <w:noWrap/>
            <w:vAlign w:val="center"/>
          </w:tcPr>
          <w:p w14:paraId="13A2722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323,340.00</w:t>
            </w:r>
          </w:p>
        </w:tc>
      </w:tr>
      <w:tr w14:paraId="4D2373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49EE687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644" w:type="dxa"/>
            <w:vMerge w:val="continue"/>
            <w:shd w:val="clear" w:color="auto" w:fill="auto"/>
            <w:vAlign w:val="center"/>
          </w:tcPr>
          <w:p w14:paraId="40F1990A">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275C4A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扶风县镇级国土空间规划和村庄规划编制项目Ⅵ标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段（杏林镇杨家沟村、长命寺村、良峪村）</w:t>
            </w:r>
          </w:p>
        </w:tc>
        <w:tc>
          <w:tcPr>
            <w:tcW w:w="1121" w:type="dxa"/>
            <w:shd w:val="clear" w:color="auto" w:fill="auto"/>
            <w:vAlign w:val="center"/>
          </w:tcPr>
          <w:p w14:paraId="6CBC9C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陕西坤正资源勘测规划设计有</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限公司</w:t>
            </w:r>
          </w:p>
        </w:tc>
        <w:tc>
          <w:tcPr>
            <w:tcW w:w="1470" w:type="dxa"/>
            <w:shd w:val="clear" w:color="auto" w:fill="auto"/>
            <w:vAlign w:val="center"/>
          </w:tcPr>
          <w:p w14:paraId="03DBC63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448,600.00</w:t>
            </w:r>
          </w:p>
        </w:tc>
        <w:tc>
          <w:tcPr>
            <w:tcW w:w="1404" w:type="dxa"/>
            <w:shd w:val="clear" w:color="auto" w:fill="auto"/>
            <w:noWrap/>
            <w:vAlign w:val="center"/>
          </w:tcPr>
          <w:p w14:paraId="4CDD09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355,618.62</w:t>
            </w:r>
          </w:p>
        </w:tc>
        <w:tc>
          <w:tcPr>
            <w:tcW w:w="928" w:type="dxa"/>
            <w:shd w:val="clear" w:color="auto" w:fill="auto"/>
            <w:noWrap/>
            <w:vAlign w:val="center"/>
          </w:tcPr>
          <w:p w14:paraId="2BAE1E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79.27%</w:t>
            </w:r>
          </w:p>
        </w:tc>
        <w:tc>
          <w:tcPr>
            <w:tcW w:w="1419" w:type="dxa"/>
            <w:shd w:val="clear" w:color="auto" w:fill="auto"/>
            <w:noWrap/>
            <w:vAlign w:val="center"/>
          </w:tcPr>
          <w:p w14:paraId="21B62CB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92,981.38</w:t>
            </w:r>
          </w:p>
        </w:tc>
      </w:tr>
      <w:tr w14:paraId="10688E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74475B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644" w:type="dxa"/>
            <w:vMerge w:val="continue"/>
            <w:shd w:val="clear" w:color="auto" w:fill="auto"/>
            <w:vAlign w:val="center"/>
          </w:tcPr>
          <w:p w14:paraId="5EF4294D">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3D4F18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扶风县镇级国土空间规划和村庄规划编制项目Ⅶ</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磅（午井镇）</w:t>
            </w:r>
          </w:p>
        </w:tc>
        <w:tc>
          <w:tcPr>
            <w:tcW w:w="1121" w:type="dxa"/>
            <w:shd w:val="clear" w:color="auto" w:fill="auto"/>
            <w:vAlign w:val="center"/>
          </w:tcPr>
          <w:p w14:paraId="632DBE0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陕西中智汇通设计有限公司</w:t>
            </w:r>
          </w:p>
        </w:tc>
        <w:tc>
          <w:tcPr>
            <w:tcW w:w="1470" w:type="dxa"/>
            <w:shd w:val="clear" w:color="auto" w:fill="auto"/>
            <w:vAlign w:val="center"/>
          </w:tcPr>
          <w:p w14:paraId="3D8F56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528,000.00</w:t>
            </w:r>
          </w:p>
        </w:tc>
        <w:tc>
          <w:tcPr>
            <w:tcW w:w="1404" w:type="dxa"/>
            <w:shd w:val="clear" w:color="auto" w:fill="auto"/>
            <w:noWrap/>
            <w:vAlign w:val="center"/>
          </w:tcPr>
          <w:p w14:paraId="525425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211,200.00</w:t>
            </w:r>
          </w:p>
        </w:tc>
        <w:tc>
          <w:tcPr>
            <w:tcW w:w="928" w:type="dxa"/>
            <w:shd w:val="clear" w:color="auto" w:fill="auto"/>
            <w:noWrap/>
            <w:vAlign w:val="center"/>
          </w:tcPr>
          <w:p w14:paraId="5272D5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40.00%</w:t>
            </w:r>
          </w:p>
        </w:tc>
        <w:tc>
          <w:tcPr>
            <w:tcW w:w="1419" w:type="dxa"/>
            <w:shd w:val="clear" w:color="auto" w:fill="auto"/>
            <w:noWrap/>
            <w:vAlign w:val="center"/>
          </w:tcPr>
          <w:p w14:paraId="71B07AB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316,800.00</w:t>
            </w:r>
          </w:p>
        </w:tc>
      </w:tr>
      <w:tr w14:paraId="1AF888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45F93F5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644" w:type="dxa"/>
            <w:vMerge w:val="continue"/>
            <w:shd w:val="clear" w:color="auto" w:fill="auto"/>
            <w:vAlign w:val="center"/>
          </w:tcPr>
          <w:p w14:paraId="6D5258B0">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41BE8C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扶风县镇级国土空间规划和村庄规划编制项目Ⅷ</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标段（午井镇：强家沟村、高望寺村）</w:t>
            </w:r>
          </w:p>
        </w:tc>
        <w:tc>
          <w:tcPr>
            <w:tcW w:w="1121" w:type="dxa"/>
            <w:shd w:val="clear" w:color="auto" w:fill="auto"/>
            <w:vAlign w:val="center"/>
          </w:tcPr>
          <w:p w14:paraId="631C72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陕西汉唐工程测绘有限公司</w:t>
            </w:r>
          </w:p>
        </w:tc>
        <w:tc>
          <w:tcPr>
            <w:tcW w:w="1470" w:type="dxa"/>
            <w:shd w:val="clear" w:color="auto" w:fill="auto"/>
            <w:vAlign w:val="center"/>
          </w:tcPr>
          <w:p w14:paraId="150F03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299,800.00</w:t>
            </w:r>
          </w:p>
        </w:tc>
        <w:tc>
          <w:tcPr>
            <w:tcW w:w="1404" w:type="dxa"/>
            <w:shd w:val="clear" w:color="auto" w:fill="auto"/>
            <w:noWrap/>
            <w:vAlign w:val="center"/>
          </w:tcPr>
          <w:p w14:paraId="13F3DB4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251,458.62</w:t>
            </w:r>
          </w:p>
        </w:tc>
        <w:tc>
          <w:tcPr>
            <w:tcW w:w="928" w:type="dxa"/>
            <w:shd w:val="clear" w:color="auto" w:fill="auto"/>
            <w:noWrap/>
            <w:vAlign w:val="center"/>
          </w:tcPr>
          <w:p w14:paraId="303FCA2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83.88%</w:t>
            </w:r>
          </w:p>
        </w:tc>
        <w:tc>
          <w:tcPr>
            <w:tcW w:w="1419" w:type="dxa"/>
            <w:shd w:val="clear" w:color="auto" w:fill="auto"/>
            <w:noWrap/>
            <w:vAlign w:val="center"/>
          </w:tcPr>
          <w:p w14:paraId="7B012B3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48,341.38</w:t>
            </w:r>
          </w:p>
        </w:tc>
      </w:tr>
      <w:tr w14:paraId="3E92F0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108124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644" w:type="dxa"/>
            <w:vMerge w:val="continue"/>
            <w:shd w:val="clear" w:color="auto" w:fill="auto"/>
            <w:vAlign w:val="center"/>
          </w:tcPr>
          <w:p w14:paraId="6F1F6E0E">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40E029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扶风县镇级国土空间规划和村庄规划编制项目Ⅸ</w:t>
            </w:r>
            <w:r>
              <w:rPr>
                <w:rStyle w:val="24"/>
                <w:rFonts w:hint="eastAsia" w:ascii="仿宋_GB2312" w:hAnsi="仿宋_GB2312" w:eastAsia="仿宋_GB2312" w:cs="仿宋_GB2312"/>
                <w:sz w:val="21"/>
                <w:szCs w:val="21"/>
                <w:lang w:val="en-US" w:eastAsia="zh-CN" w:bidi="ar"/>
              </w:rPr>
              <w:t>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段（段家镇）</w:t>
            </w:r>
          </w:p>
        </w:tc>
        <w:tc>
          <w:tcPr>
            <w:tcW w:w="1121" w:type="dxa"/>
            <w:shd w:val="clear" w:color="auto" w:fill="auto"/>
            <w:vAlign w:val="center"/>
          </w:tcPr>
          <w:p w14:paraId="7E1282B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中量设计集团有限公司</w:t>
            </w:r>
          </w:p>
        </w:tc>
        <w:tc>
          <w:tcPr>
            <w:tcW w:w="1470" w:type="dxa"/>
            <w:shd w:val="clear" w:color="auto" w:fill="auto"/>
            <w:vAlign w:val="center"/>
          </w:tcPr>
          <w:p w14:paraId="375442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523,000.00</w:t>
            </w:r>
          </w:p>
        </w:tc>
        <w:tc>
          <w:tcPr>
            <w:tcW w:w="1404" w:type="dxa"/>
            <w:shd w:val="clear" w:color="auto" w:fill="auto"/>
            <w:noWrap/>
            <w:vAlign w:val="center"/>
          </w:tcPr>
          <w:p w14:paraId="4D0E080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209,200.00</w:t>
            </w:r>
          </w:p>
        </w:tc>
        <w:tc>
          <w:tcPr>
            <w:tcW w:w="928" w:type="dxa"/>
            <w:shd w:val="clear" w:color="auto" w:fill="auto"/>
            <w:noWrap/>
            <w:vAlign w:val="center"/>
          </w:tcPr>
          <w:p w14:paraId="14A7ED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40.00%</w:t>
            </w:r>
          </w:p>
        </w:tc>
        <w:tc>
          <w:tcPr>
            <w:tcW w:w="1419" w:type="dxa"/>
            <w:shd w:val="clear" w:color="auto" w:fill="auto"/>
            <w:noWrap/>
            <w:vAlign w:val="center"/>
          </w:tcPr>
          <w:p w14:paraId="576D0AF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313,800.00</w:t>
            </w:r>
          </w:p>
        </w:tc>
      </w:tr>
      <w:tr w14:paraId="3EDA6C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327E5D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644" w:type="dxa"/>
            <w:vMerge w:val="continue"/>
            <w:shd w:val="clear" w:color="auto" w:fill="auto"/>
            <w:vAlign w:val="center"/>
          </w:tcPr>
          <w:p w14:paraId="29ED7E09">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06597D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w:t>
            </w:r>
            <w:r>
              <w:rPr>
                <w:rFonts w:hint="eastAsia" w:ascii="仿宋_GB2312" w:hAnsi="仿宋_GB2312" w:eastAsia="仿宋_GB2312" w:cs="仿宋_GB2312"/>
                <w:color w:val="000000"/>
                <w:sz w:val="21"/>
                <w:szCs w:val="21"/>
                <w:u w:val="none"/>
                <w:lang w:val="en-US" w:eastAsia="zh-CN" w:bidi="ar"/>
              </w:rPr>
              <w:t>X</w:t>
            </w:r>
            <w:r>
              <w:rPr>
                <w:rStyle w:val="24"/>
                <w:rFonts w:hint="eastAsia" w:ascii="仿宋_GB2312" w:hAnsi="仿宋_GB2312" w:eastAsia="仿宋_GB2312" w:cs="仿宋_GB2312"/>
                <w:sz w:val="21"/>
                <w:szCs w:val="21"/>
                <w:lang w:val="en-US" w:eastAsia="zh-CN" w:bidi="ar"/>
              </w:rPr>
              <w:t>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段（段家镇：咎樊村、大同村）</w:t>
            </w:r>
          </w:p>
        </w:tc>
        <w:tc>
          <w:tcPr>
            <w:tcW w:w="1121" w:type="dxa"/>
            <w:shd w:val="clear" w:color="auto" w:fill="auto"/>
            <w:vAlign w:val="center"/>
          </w:tcPr>
          <w:p w14:paraId="4D817D0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陕西瑞海土地规划评估工程有</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限责任公司</w:t>
            </w:r>
          </w:p>
        </w:tc>
        <w:tc>
          <w:tcPr>
            <w:tcW w:w="1470" w:type="dxa"/>
            <w:shd w:val="clear" w:color="auto" w:fill="auto"/>
            <w:vAlign w:val="center"/>
          </w:tcPr>
          <w:p w14:paraId="06CC0E5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296,000.00</w:t>
            </w:r>
          </w:p>
        </w:tc>
        <w:tc>
          <w:tcPr>
            <w:tcW w:w="1404" w:type="dxa"/>
            <w:shd w:val="clear" w:color="auto" w:fill="auto"/>
            <w:noWrap/>
            <w:vAlign w:val="center"/>
          </w:tcPr>
          <w:p w14:paraId="791E77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248,798.62</w:t>
            </w:r>
          </w:p>
        </w:tc>
        <w:tc>
          <w:tcPr>
            <w:tcW w:w="928" w:type="dxa"/>
            <w:shd w:val="clear" w:color="auto" w:fill="auto"/>
            <w:noWrap/>
            <w:vAlign w:val="center"/>
          </w:tcPr>
          <w:p w14:paraId="338D3D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84.05%</w:t>
            </w:r>
          </w:p>
        </w:tc>
        <w:tc>
          <w:tcPr>
            <w:tcW w:w="1419" w:type="dxa"/>
            <w:shd w:val="clear" w:color="auto" w:fill="auto"/>
            <w:noWrap/>
            <w:vAlign w:val="center"/>
          </w:tcPr>
          <w:p w14:paraId="21375FD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47,201.38</w:t>
            </w:r>
          </w:p>
        </w:tc>
      </w:tr>
      <w:tr w14:paraId="0C7272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0A3F570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644" w:type="dxa"/>
            <w:vMerge w:val="continue"/>
            <w:shd w:val="clear" w:color="auto" w:fill="auto"/>
            <w:vAlign w:val="center"/>
          </w:tcPr>
          <w:p w14:paraId="049E05EA">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247C41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w:t>
            </w:r>
            <w:r>
              <w:rPr>
                <w:rFonts w:hint="eastAsia" w:ascii="仿宋_GB2312" w:hAnsi="仿宋_GB2312" w:eastAsia="仿宋_GB2312" w:cs="仿宋_GB2312"/>
                <w:color w:val="000000"/>
                <w:sz w:val="21"/>
                <w:szCs w:val="21"/>
                <w:u w:val="none"/>
                <w:lang w:val="en-US" w:eastAsia="zh-CN" w:bidi="ar"/>
              </w:rPr>
              <w:t>XI</w:t>
            </w:r>
            <w:r>
              <w:rPr>
                <w:rStyle w:val="24"/>
                <w:rFonts w:hint="eastAsia" w:ascii="仿宋_GB2312" w:hAnsi="仿宋_GB2312" w:eastAsia="仿宋_GB2312" w:cs="仿宋_GB2312"/>
                <w:sz w:val="21"/>
                <w:szCs w:val="21"/>
                <w:lang w:val="en-US" w:eastAsia="zh-CN" w:bidi="ar"/>
              </w:rPr>
              <w:t>标</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段（城关街道办：西官村、黄甫村）</w:t>
            </w:r>
          </w:p>
        </w:tc>
        <w:tc>
          <w:tcPr>
            <w:tcW w:w="1121" w:type="dxa"/>
            <w:shd w:val="clear" w:color="auto" w:fill="auto"/>
            <w:vAlign w:val="center"/>
          </w:tcPr>
          <w:p w14:paraId="7AAD54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陕西世纪蓝土地勘测规划设计</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有限责任公司</w:t>
            </w:r>
          </w:p>
        </w:tc>
        <w:tc>
          <w:tcPr>
            <w:tcW w:w="1470" w:type="dxa"/>
            <w:shd w:val="clear" w:color="auto" w:fill="auto"/>
            <w:vAlign w:val="center"/>
          </w:tcPr>
          <w:p w14:paraId="3D1389C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298,200.00</w:t>
            </w:r>
          </w:p>
        </w:tc>
        <w:tc>
          <w:tcPr>
            <w:tcW w:w="1404" w:type="dxa"/>
            <w:shd w:val="clear" w:color="auto" w:fill="auto"/>
            <w:noWrap/>
            <w:vAlign w:val="center"/>
          </w:tcPr>
          <w:p w14:paraId="00BF11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250,338.62</w:t>
            </w:r>
          </w:p>
        </w:tc>
        <w:tc>
          <w:tcPr>
            <w:tcW w:w="928" w:type="dxa"/>
            <w:shd w:val="clear" w:color="auto" w:fill="auto"/>
            <w:noWrap/>
            <w:vAlign w:val="center"/>
          </w:tcPr>
          <w:p w14:paraId="505A4C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83.95%</w:t>
            </w:r>
          </w:p>
        </w:tc>
        <w:tc>
          <w:tcPr>
            <w:tcW w:w="1419" w:type="dxa"/>
            <w:shd w:val="clear" w:color="auto" w:fill="auto"/>
            <w:noWrap/>
            <w:vAlign w:val="center"/>
          </w:tcPr>
          <w:p w14:paraId="4C99A69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47,861.38</w:t>
            </w:r>
          </w:p>
        </w:tc>
      </w:tr>
      <w:tr w14:paraId="10D85A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606" w:hRule="atLeast"/>
          <w:jc w:val="center"/>
        </w:trPr>
        <w:tc>
          <w:tcPr>
            <w:tcW w:w="396" w:type="dxa"/>
            <w:shd w:val="clear" w:color="auto" w:fill="auto"/>
            <w:vAlign w:val="center"/>
          </w:tcPr>
          <w:p w14:paraId="17D4C5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644" w:type="dxa"/>
            <w:vMerge w:val="continue"/>
            <w:shd w:val="clear" w:color="auto" w:fill="auto"/>
            <w:vAlign w:val="center"/>
          </w:tcPr>
          <w:p w14:paraId="6960E2F8">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081427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扶风县镇级国土空间规划和村庄规划编制项目Ⅻ</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标段（绛帐镇：凤鸣村、西渠村、龙渠寺村）</w:t>
            </w:r>
          </w:p>
        </w:tc>
        <w:tc>
          <w:tcPr>
            <w:tcW w:w="1121" w:type="dxa"/>
            <w:shd w:val="clear" w:color="auto" w:fill="auto"/>
            <w:vAlign w:val="center"/>
          </w:tcPr>
          <w:p w14:paraId="2B1B19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西安坐标原点地理空间研</w:t>
            </w:r>
            <w:r>
              <w:rPr>
                <w:rStyle w:val="24"/>
                <w:rFonts w:hint="eastAsia" w:ascii="仿宋_GB2312" w:hAnsi="仿宋_GB2312" w:eastAsia="仿宋_GB2312" w:cs="仿宋_GB2312"/>
                <w:sz w:val="21"/>
                <w:szCs w:val="21"/>
                <w:lang w:val="en-US" w:eastAsia="zh-CN" w:bidi="ar"/>
              </w:rPr>
              <w:t>究院</w:t>
            </w:r>
            <w:r>
              <w:rPr>
                <w:rFonts w:hint="eastAsia" w:ascii="仿宋_GB2312" w:hAnsi="仿宋_GB2312" w:eastAsia="仿宋_GB2312" w:cs="仿宋_GB2312"/>
                <w:color w:val="000000"/>
                <w:sz w:val="21"/>
                <w:szCs w:val="21"/>
                <w:u w:val="none"/>
                <w:lang w:val="en-US" w:eastAsia="zh-CN" w:bidi="ar"/>
              </w:rPr>
              <w:t xml:space="preserve"> </w:t>
            </w:r>
            <w:r>
              <w:rPr>
                <w:rStyle w:val="24"/>
                <w:rFonts w:hint="eastAsia" w:ascii="仿宋_GB2312" w:hAnsi="仿宋_GB2312" w:eastAsia="仿宋_GB2312" w:cs="仿宋_GB2312"/>
                <w:sz w:val="21"/>
                <w:szCs w:val="21"/>
                <w:lang w:val="en-US" w:eastAsia="zh-CN" w:bidi="ar"/>
              </w:rPr>
              <w:t>有限公司</w:t>
            </w:r>
          </w:p>
        </w:tc>
        <w:tc>
          <w:tcPr>
            <w:tcW w:w="1470" w:type="dxa"/>
            <w:shd w:val="clear" w:color="auto" w:fill="auto"/>
            <w:vAlign w:val="center"/>
          </w:tcPr>
          <w:p w14:paraId="7FEF73A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448,500.00</w:t>
            </w:r>
          </w:p>
        </w:tc>
        <w:tc>
          <w:tcPr>
            <w:tcW w:w="1404" w:type="dxa"/>
            <w:shd w:val="clear" w:color="auto" w:fill="auto"/>
            <w:noWrap/>
            <w:vAlign w:val="center"/>
          </w:tcPr>
          <w:p w14:paraId="76C578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355,548.62</w:t>
            </w:r>
          </w:p>
        </w:tc>
        <w:tc>
          <w:tcPr>
            <w:tcW w:w="928" w:type="dxa"/>
            <w:shd w:val="clear" w:color="auto" w:fill="auto"/>
            <w:noWrap/>
            <w:vAlign w:val="center"/>
          </w:tcPr>
          <w:p w14:paraId="673CD4E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79.28%</w:t>
            </w:r>
          </w:p>
        </w:tc>
        <w:tc>
          <w:tcPr>
            <w:tcW w:w="1419" w:type="dxa"/>
            <w:shd w:val="clear" w:color="auto" w:fill="auto"/>
            <w:noWrap/>
            <w:vAlign w:val="center"/>
          </w:tcPr>
          <w:p w14:paraId="012230B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92,951.38</w:t>
            </w:r>
          </w:p>
        </w:tc>
      </w:tr>
      <w:tr w14:paraId="36534A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661ED034">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644" w:type="dxa"/>
            <w:vMerge w:val="restart"/>
            <w:shd w:val="clear" w:color="auto" w:fill="auto"/>
            <w:vAlign w:val="center"/>
          </w:tcPr>
          <w:p w14:paraId="203881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w:t>
            </w:r>
            <w:r>
              <w:rPr>
                <w:rFonts w:hint="eastAsia" w:ascii="仿宋_GB2312" w:hAnsi="仿宋_GB2312" w:eastAsia="仿宋_GB2312" w:cs="仿宋_GB2312"/>
                <w:color w:val="000000"/>
                <w:sz w:val="21"/>
                <w:szCs w:val="21"/>
                <w:u w:val="none"/>
                <w:lang w:val="en-US" w:eastAsia="zh-CN" w:bidi="ar"/>
              </w:rPr>
              <w:t>2024年村庄规划编制项目</w:t>
            </w:r>
          </w:p>
        </w:tc>
        <w:tc>
          <w:tcPr>
            <w:tcW w:w="1563" w:type="dxa"/>
            <w:shd w:val="clear" w:color="auto" w:fill="auto"/>
            <w:vAlign w:val="center"/>
          </w:tcPr>
          <w:p w14:paraId="143E75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扶风县2024年村庄规划编制项目一标段（绛帐镇罗家村、上宋村）</w:t>
            </w:r>
          </w:p>
        </w:tc>
        <w:tc>
          <w:tcPr>
            <w:tcW w:w="1121" w:type="dxa"/>
            <w:shd w:val="clear" w:color="auto" w:fill="auto"/>
            <w:vAlign w:val="center"/>
          </w:tcPr>
          <w:p w14:paraId="023D12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陕西迪博景源测绘地理信息有限公司</w:t>
            </w:r>
          </w:p>
        </w:tc>
        <w:tc>
          <w:tcPr>
            <w:tcW w:w="1470" w:type="dxa"/>
            <w:shd w:val="clear" w:color="auto" w:fill="auto"/>
            <w:vAlign w:val="center"/>
          </w:tcPr>
          <w:p w14:paraId="13A520D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299,001.50</w:t>
            </w:r>
          </w:p>
        </w:tc>
        <w:tc>
          <w:tcPr>
            <w:tcW w:w="1404" w:type="dxa"/>
            <w:shd w:val="clear" w:color="auto" w:fill="auto"/>
            <w:noWrap/>
            <w:vAlign w:val="center"/>
          </w:tcPr>
          <w:p w14:paraId="074CF7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209,300.45</w:t>
            </w:r>
          </w:p>
        </w:tc>
        <w:tc>
          <w:tcPr>
            <w:tcW w:w="928" w:type="dxa"/>
            <w:shd w:val="clear" w:color="auto" w:fill="auto"/>
            <w:noWrap/>
            <w:vAlign w:val="center"/>
          </w:tcPr>
          <w:p w14:paraId="13E8724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399A4D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89,701.05</w:t>
            </w:r>
          </w:p>
        </w:tc>
      </w:tr>
      <w:tr w14:paraId="61EC67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6EE576C5">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644" w:type="dxa"/>
            <w:vMerge w:val="continue"/>
            <w:shd w:val="clear" w:color="auto" w:fill="auto"/>
            <w:vAlign w:val="center"/>
          </w:tcPr>
          <w:p w14:paraId="79F0D93A">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03B1695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扶风县2024年村庄规划编制项目二标段（召公镇吴家村、召光村、西吕村）</w:t>
            </w:r>
          </w:p>
        </w:tc>
        <w:tc>
          <w:tcPr>
            <w:tcW w:w="1121" w:type="dxa"/>
            <w:shd w:val="clear" w:color="auto" w:fill="auto"/>
            <w:vAlign w:val="center"/>
          </w:tcPr>
          <w:p w14:paraId="033CCC1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中量设计集团有限公司</w:t>
            </w:r>
          </w:p>
        </w:tc>
        <w:tc>
          <w:tcPr>
            <w:tcW w:w="1470" w:type="dxa"/>
            <w:shd w:val="clear" w:color="auto" w:fill="auto"/>
            <w:vAlign w:val="center"/>
          </w:tcPr>
          <w:p w14:paraId="0264C2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438,000.00</w:t>
            </w:r>
          </w:p>
        </w:tc>
        <w:tc>
          <w:tcPr>
            <w:tcW w:w="1404" w:type="dxa"/>
            <w:shd w:val="clear" w:color="auto" w:fill="auto"/>
            <w:noWrap/>
            <w:vAlign w:val="center"/>
          </w:tcPr>
          <w:p w14:paraId="2E4A91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306,600.00</w:t>
            </w:r>
          </w:p>
        </w:tc>
        <w:tc>
          <w:tcPr>
            <w:tcW w:w="928" w:type="dxa"/>
            <w:shd w:val="clear" w:color="auto" w:fill="auto"/>
            <w:noWrap/>
            <w:vAlign w:val="center"/>
          </w:tcPr>
          <w:p w14:paraId="4F0F73B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421A24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131,400.00</w:t>
            </w:r>
          </w:p>
        </w:tc>
      </w:tr>
      <w:tr w14:paraId="28B327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48D2F8FF">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644" w:type="dxa"/>
            <w:vMerge w:val="continue"/>
            <w:shd w:val="clear" w:color="auto" w:fill="auto"/>
            <w:vAlign w:val="center"/>
          </w:tcPr>
          <w:p w14:paraId="523347DB">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6E60A55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扶风县2024年村庄规划编制项目三标段（天度镇闫马村、齐横村、下寨村）</w:t>
            </w:r>
          </w:p>
        </w:tc>
        <w:tc>
          <w:tcPr>
            <w:tcW w:w="1121" w:type="dxa"/>
            <w:shd w:val="clear" w:color="auto" w:fill="auto"/>
            <w:vAlign w:val="center"/>
          </w:tcPr>
          <w:p w14:paraId="0247D9C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陕西中飞天地理信息科技有限公司</w:t>
            </w:r>
          </w:p>
        </w:tc>
        <w:tc>
          <w:tcPr>
            <w:tcW w:w="1470" w:type="dxa"/>
            <w:shd w:val="clear" w:color="auto" w:fill="auto"/>
            <w:vAlign w:val="center"/>
          </w:tcPr>
          <w:p w14:paraId="450929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449,000.00</w:t>
            </w:r>
          </w:p>
        </w:tc>
        <w:tc>
          <w:tcPr>
            <w:tcW w:w="1404" w:type="dxa"/>
            <w:shd w:val="clear" w:color="auto" w:fill="auto"/>
            <w:noWrap/>
            <w:vAlign w:val="center"/>
          </w:tcPr>
          <w:p w14:paraId="26F09BE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314,300.00</w:t>
            </w:r>
          </w:p>
        </w:tc>
        <w:tc>
          <w:tcPr>
            <w:tcW w:w="928" w:type="dxa"/>
            <w:shd w:val="clear" w:color="auto" w:fill="auto"/>
            <w:noWrap/>
            <w:vAlign w:val="center"/>
          </w:tcPr>
          <w:p w14:paraId="18FB44F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1E27A5C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134,700.00</w:t>
            </w:r>
          </w:p>
        </w:tc>
      </w:tr>
      <w:tr w14:paraId="14D1AF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254" w:hRule="atLeast"/>
          <w:jc w:val="center"/>
        </w:trPr>
        <w:tc>
          <w:tcPr>
            <w:tcW w:w="396" w:type="dxa"/>
            <w:shd w:val="clear" w:color="auto" w:fill="auto"/>
            <w:vAlign w:val="center"/>
          </w:tcPr>
          <w:p w14:paraId="360E1257">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644" w:type="dxa"/>
            <w:vMerge w:val="continue"/>
            <w:shd w:val="clear" w:color="auto" w:fill="auto"/>
            <w:vAlign w:val="center"/>
          </w:tcPr>
          <w:p w14:paraId="112C1951">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2FDA489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扶风县2024年村庄规划编制项目四标段（天度镇鲁马村、侯李村、强家村）</w:t>
            </w:r>
          </w:p>
        </w:tc>
        <w:tc>
          <w:tcPr>
            <w:tcW w:w="1121" w:type="dxa"/>
            <w:shd w:val="clear" w:color="auto" w:fill="auto"/>
            <w:vAlign w:val="center"/>
          </w:tcPr>
          <w:p w14:paraId="294E396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西安天穹勘测规划设计有限公司</w:t>
            </w:r>
          </w:p>
        </w:tc>
        <w:tc>
          <w:tcPr>
            <w:tcW w:w="1470" w:type="dxa"/>
            <w:shd w:val="clear" w:color="auto" w:fill="auto"/>
            <w:vAlign w:val="center"/>
          </w:tcPr>
          <w:p w14:paraId="6949F5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441,600.00</w:t>
            </w:r>
          </w:p>
        </w:tc>
        <w:tc>
          <w:tcPr>
            <w:tcW w:w="1404" w:type="dxa"/>
            <w:shd w:val="clear" w:color="auto" w:fill="auto"/>
            <w:noWrap/>
            <w:vAlign w:val="center"/>
          </w:tcPr>
          <w:p w14:paraId="617C8C7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309,120.00</w:t>
            </w:r>
          </w:p>
        </w:tc>
        <w:tc>
          <w:tcPr>
            <w:tcW w:w="928" w:type="dxa"/>
            <w:shd w:val="clear" w:color="auto" w:fill="auto"/>
            <w:noWrap/>
            <w:vAlign w:val="center"/>
          </w:tcPr>
          <w:p w14:paraId="569CAA3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0D103F9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132,480.00</w:t>
            </w:r>
          </w:p>
        </w:tc>
      </w:tr>
      <w:tr w14:paraId="742CB3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59710CAB">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644" w:type="dxa"/>
            <w:vMerge w:val="continue"/>
            <w:shd w:val="clear" w:color="auto" w:fill="auto"/>
            <w:vAlign w:val="center"/>
          </w:tcPr>
          <w:p w14:paraId="7558C624">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1263F3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扶风县2024年村庄规划编制项目五标段（午井镇小寨村、吕家庄村、官坡村）</w:t>
            </w:r>
          </w:p>
        </w:tc>
        <w:tc>
          <w:tcPr>
            <w:tcW w:w="1121" w:type="dxa"/>
            <w:shd w:val="clear" w:color="auto" w:fill="auto"/>
            <w:vAlign w:val="center"/>
          </w:tcPr>
          <w:p w14:paraId="67978E2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西安华泰测绘工程有限公司</w:t>
            </w:r>
          </w:p>
        </w:tc>
        <w:tc>
          <w:tcPr>
            <w:tcW w:w="1470" w:type="dxa"/>
            <w:shd w:val="clear" w:color="auto" w:fill="auto"/>
            <w:vAlign w:val="center"/>
          </w:tcPr>
          <w:p w14:paraId="0A2629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449,666.00</w:t>
            </w:r>
          </w:p>
        </w:tc>
        <w:tc>
          <w:tcPr>
            <w:tcW w:w="1404" w:type="dxa"/>
            <w:shd w:val="clear" w:color="auto" w:fill="auto"/>
            <w:noWrap/>
            <w:vAlign w:val="center"/>
          </w:tcPr>
          <w:p w14:paraId="4FDEB3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314,766.20</w:t>
            </w:r>
          </w:p>
        </w:tc>
        <w:tc>
          <w:tcPr>
            <w:tcW w:w="928" w:type="dxa"/>
            <w:shd w:val="clear" w:color="auto" w:fill="auto"/>
            <w:noWrap/>
            <w:vAlign w:val="center"/>
          </w:tcPr>
          <w:p w14:paraId="6707A1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5D0F74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134,899.80</w:t>
            </w:r>
          </w:p>
        </w:tc>
      </w:tr>
      <w:tr w14:paraId="5B1743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4E111EF6">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644" w:type="dxa"/>
            <w:vMerge w:val="continue"/>
            <w:shd w:val="clear" w:color="auto" w:fill="auto"/>
            <w:vAlign w:val="center"/>
          </w:tcPr>
          <w:p w14:paraId="79EC47FA">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0358DB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扶风县2024年村庄规划编制项目六标段（段家镇青龙村、沟老村）</w:t>
            </w:r>
          </w:p>
        </w:tc>
        <w:tc>
          <w:tcPr>
            <w:tcW w:w="1121" w:type="dxa"/>
            <w:shd w:val="clear" w:color="auto" w:fill="auto"/>
            <w:vAlign w:val="center"/>
          </w:tcPr>
          <w:p w14:paraId="3AE8D18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西安理工大规划建筑设计研究院有限公司</w:t>
            </w:r>
          </w:p>
        </w:tc>
        <w:tc>
          <w:tcPr>
            <w:tcW w:w="1470" w:type="dxa"/>
            <w:shd w:val="clear" w:color="auto" w:fill="auto"/>
            <w:vAlign w:val="center"/>
          </w:tcPr>
          <w:p w14:paraId="2EF7BA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299,000.00</w:t>
            </w:r>
          </w:p>
        </w:tc>
        <w:tc>
          <w:tcPr>
            <w:tcW w:w="1404" w:type="dxa"/>
            <w:shd w:val="clear" w:color="auto" w:fill="auto"/>
            <w:noWrap/>
            <w:vAlign w:val="center"/>
          </w:tcPr>
          <w:p w14:paraId="45FD5D9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209,300.00</w:t>
            </w:r>
          </w:p>
        </w:tc>
        <w:tc>
          <w:tcPr>
            <w:tcW w:w="928" w:type="dxa"/>
            <w:shd w:val="clear" w:color="auto" w:fill="auto"/>
            <w:noWrap/>
            <w:vAlign w:val="center"/>
          </w:tcPr>
          <w:p w14:paraId="06B0C24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4D9BE5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89,700.00</w:t>
            </w:r>
          </w:p>
        </w:tc>
      </w:tr>
      <w:tr w14:paraId="1F776B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1287" w:hRule="atLeast"/>
          <w:jc w:val="center"/>
        </w:trPr>
        <w:tc>
          <w:tcPr>
            <w:tcW w:w="396" w:type="dxa"/>
            <w:shd w:val="clear" w:color="auto" w:fill="auto"/>
            <w:vAlign w:val="center"/>
          </w:tcPr>
          <w:p w14:paraId="08ACE85E">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644" w:type="dxa"/>
            <w:vMerge w:val="continue"/>
            <w:shd w:val="clear" w:color="auto" w:fill="auto"/>
            <w:vAlign w:val="center"/>
          </w:tcPr>
          <w:p w14:paraId="7A5D8DFF">
            <w:pPr>
              <w:jc w:val="center"/>
              <w:rPr>
                <w:rFonts w:hint="eastAsia" w:ascii="仿宋_GB2312" w:hAnsi="仿宋_GB2312" w:eastAsia="仿宋_GB2312" w:cs="仿宋_GB2312"/>
                <w:i w:val="0"/>
                <w:iCs w:val="0"/>
                <w:color w:val="000000"/>
                <w:sz w:val="21"/>
                <w:szCs w:val="21"/>
                <w:u w:val="none"/>
              </w:rPr>
            </w:pPr>
          </w:p>
        </w:tc>
        <w:tc>
          <w:tcPr>
            <w:tcW w:w="1563" w:type="dxa"/>
            <w:shd w:val="clear" w:color="auto" w:fill="auto"/>
            <w:vAlign w:val="center"/>
          </w:tcPr>
          <w:p w14:paraId="3DE6D9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扶风县2024年村庄规划编制项目七标段（杏林镇西坡村、三官庙村）</w:t>
            </w:r>
          </w:p>
        </w:tc>
        <w:tc>
          <w:tcPr>
            <w:tcW w:w="1121" w:type="dxa"/>
            <w:shd w:val="clear" w:color="auto" w:fill="auto"/>
            <w:vAlign w:val="center"/>
          </w:tcPr>
          <w:p w14:paraId="4A9EA5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陕西世纪蓝土地勘测规划设计有限责任公司</w:t>
            </w:r>
          </w:p>
        </w:tc>
        <w:tc>
          <w:tcPr>
            <w:tcW w:w="1470" w:type="dxa"/>
            <w:shd w:val="clear" w:color="auto" w:fill="auto"/>
            <w:vAlign w:val="center"/>
          </w:tcPr>
          <w:p w14:paraId="5978891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298,000.00</w:t>
            </w:r>
          </w:p>
        </w:tc>
        <w:tc>
          <w:tcPr>
            <w:tcW w:w="1404" w:type="dxa"/>
            <w:shd w:val="clear" w:color="auto" w:fill="auto"/>
            <w:noWrap/>
            <w:vAlign w:val="center"/>
          </w:tcPr>
          <w:p w14:paraId="514962E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208,600.00</w:t>
            </w:r>
          </w:p>
        </w:tc>
        <w:tc>
          <w:tcPr>
            <w:tcW w:w="928" w:type="dxa"/>
            <w:shd w:val="clear" w:color="auto" w:fill="auto"/>
            <w:noWrap/>
            <w:vAlign w:val="center"/>
          </w:tcPr>
          <w:p w14:paraId="4ACC1E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w:t>
            </w:r>
          </w:p>
        </w:tc>
        <w:tc>
          <w:tcPr>
            <w:tcW w:w="1419" w:type="dxa"/>
            <w:shd w:val="clear" w:color="auto" w:fill="auto"/>
            <w:noWrap/>
            <w:vAlign w:val="center"/>
          </w:tcPr>
          <w:p w14:paraId="19DD241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89,400.00</w:t>
            </w:r>
          </w:p>
        </w:tc>
      </w:tr>
      <w:tr w14:paraId="61617C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28" w:type="dxa"/>
            <w:bottom w:w="0" w:type="dxa"/>
            <w:right w:w="28" w:type="dxa"/>
          </w:tblCellMar>
        </w:tblPrEx>
        <w:trPr>
          <w:trHeight w:val="658" w:hRule="atLeast"/>
          <w:jc w:val="center"/>
        </w:trPr>
        <w:tc>
          <w:tcPr>
            <w:tcW w:w="3724" w:type="dxa"/>
            <w:gridSpan w:val="4"/>
            <w:shd w:val="clear" w:color="auto" w:fill="auto"/>
            <w:vAlign w:val="center"/>
          </w:tcPr>
          <w:p w14:paraId="0D5525B6">
            <w:pPr>
              <w:jc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合计</w:t>
            </w:r>
          </w:p>
        </w:tc>
        <w:tc>
          <w:tcPr>
            <w:tcW w:w="1470" w:type="dxa"/>
            <w:shd w:val="clear" w:color="auto" w:fill="auto"/>
            <w:vAlign w:val="center"/>
          </w:tcPr>
          <w:p w14:paraId="113BEC3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7,864,257.50</w:t>
            </w:r>
          </w:p>
        </w:tc>
        <w:tc>
          <w:tcPr>
            <w:tcW w:w="1404" w:type="dxa"/>
            <w:shd w:val="clear" w:color="auto" w:fill="auto"/>
            <w:noWrap/>
            <w:vAlign w:val="center"/>
          </w:tcPr>
          <w:p w14:paraId="04C78D8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4,999,999.99</w:t>
            </w:r>
          </w:p>
        </w:tc>
        <w:tc>
          <w:tcPr>
            <w:tcW w:w="928" w:type="dxa"/>
            <w:shd w:val="clear" w:color="auto" w:fill="auto"/>
            <w:noWrap/>
            <w:vAlign w:val="center"/>
          </w:tcPr>
          <w:p w14:paraId="1F98D7F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63.58%</w:t>
            </w:r>
          </w:p>
        </w:tc>
        <w:tc>
          <w:tcPr>
            <w:tcW w:w="1419" w:type="dxa"/>
            <w:shd w:val="clear" w:color="auto" w:fill="auto"/>
            <w:noWrap/>
            <w:vAlign w:val="center"/>
          </w:tcPr>
          <w:p w14:paraId="68611DD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2,864,257.51</w:t>
            </w:r>
          </w:p>
        </w:tc>
      </w:tr>
    </w:tbl>
    <w:p w14:paraId="67E277D0">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（五）项目实施及绩效目标完成情况</w:t>
      </w:r>
    </w:p>
    <w:p w14:paraId="4924B19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扶风县自然资源局将5个镇级国土空间规划、35个实用性村庄规划分为扶风县镇级国土空间规划和村庄规划编制项目(划分为12个标段)、扶风县2024年村庄规划编制项目(划分为7个标段)两批开展招标工作，具体如下：</w:t>
      </w:r>
    </w:p>
    <w:p w14:paraId="61F8351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2023年</w:t>
      </w:r>
      <w:r>
        <w:rPr>
          <w:rFonts w:hint="eastAsia" w:ascii="仿宋_GB2312" w:hAnsi="仿宋_GB2312" w:eastAsia="仿宋_GB2312" w:cs="仿宋_GB2312"/>
          <w:color w:val="auto"/>
          <w:kern w:val="2"/>
          <w:sz w:val="32"/>
          <w:szCs w:val="32"/>
          <w:highlight w:val="none"/>
          <w:lang w:val="en-US" w:eastAsia="zh-CN" w:bidi="ar-SA"/>
        </w:rPr>
        <w:t>9月委托陕西鑫瑞泰诚项目管理有限公司（招标代理机构）组织开展扶风县镇级国土空间规划和村庄规划编制项目的招投标活动，通过公开招标方式确定12家中标单位并于2023年10月11日发出中标通知书，2023年10月26日扶风县自然资源局与各标段中标单位签订合同。详见表4。</w:t>
      </w:r>
    </w:p>
    <w:p w14:paraId="29BF73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2024年</w:t>
      </w:r>
      <w:r>
        <w:rPr>
          <w:rFonts w:hint="eastAsia" w:ascii="仿宋_GB2312" w:hAnsi="仿宋_GB2312" w:eastAsia="仿宋_GB2312" w:cs="仿宋_GB2312"/>
          <w:color w:val="auto"/>
          <w:kern w:val="2"/>
          <w:sz w:val="32"/>
          <w:szCs w:val="32"/>
          <w:highlight w:val="none"/>
          <w:lang w:val="en-US" w:eastAsia="zh-CN" w:bidi="ar-SA"/>
        </w:rPr>
        <w:t>3月委托宝鸡鉴祥顺工程项目管理有限公司（招标代理机构）组织开展扶风县2024年村庄规划编制项目的招投标活动，通过公开招标方式确定7家中标单位，并于2024年4月8日发出中标通知书，随后扶风县自然资源局与各标段中标单位签订合同。详见表4。</w:t>
      </w:r>
    </w:p>
    <w:p w14:paraId="4CE6218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p>
    <w:p w14:paraId="2ED907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p>
    <w:p w14:paraId="34BCE8B7">
      <w:pPr>
        <w:keepNext w:val="0"/>
        <w:keepLines w:val="0"/>
        <w:pageBreakBefore w:val="0"/>
        <w:widowControl w:val="0"/>
        <w:kinsoku/>
        <w:wordWrap/>
        <w:overflowPunct/>
        <w:topLinePunct w:val="0"/>
        <w:autoSpaceDE/>
        <w:autoSpaceDN/>
        <w:bidi w:val="0"/>
        <w:adjustRightInd/>
        <w:snapToGrid/>
        <w:spacing w:before="165" w:beforeLines="50" w:line="560" w:lineRule="exact"/>
        <w:ind w:firstLine="1415" w:firstLineChars="500"/>
        <w:textAlignment w:val="auto"/>
        <w:rPr>
          <w:rFonts w:hint="eastAsia" w:ascii="仿宋" w:hAnsi="仿宋" w:eastAsia="仿宋" w:cs="仿宋"/>
          <w:b/>
          <w:bCs/>
          <w:kern w:val="2"/>
          <w:sz w:val="28"/>
          <w:szCs w:val="28"/>
          <w:highlight w:val="none"/>
          <w:lang w:val="en-US" w:eastAsia="zh-CN" w:bidi="ar-SA"/>
        </w:rPr>
        <w:sectPr>
          <w:headerReference r:id="rId8" w:type="first"/>
          <w:footerReference r:id="rId10" w:type="first"/>
          <w:headerReference r:id="rId7" w:type="default"/>
          <w:footerReference r:id="rId9" w:type="default"/>
          <w:pgSz w:w="11906" w:h="16838"/>
          <w:pgMar w:top="1417" w:right="1559" w:bottom="1417" w:left="1701" w:header="851" w:footer="992" w:gutter="0"/>
          <w:pgBorders>
            <w:top w:val="none" w:sz="0" w:space="0"/>
            <w:left w:val="none" w:sz="0" w:space="0"/>
            <w:bottom w:val="none" w:sz="0" w:space="0"/>
            <w:right w:val="none" w:sz="0" w:space="0"/>
          </w:pgBorders>
          <w:pgNumType w:fmt="decimal" w:start="1"/>
          <w:cols w:space="720" w:num="1"/>
          <w:titlePg/>
          <w:rtlGutter w:val="0"/>
          <w:docGrid w:type="linesAndChars" w:linePitch="327" w:charSpace="625"/>
        </w:sectPr>
      </w:pPr>
    </w:p>
    <w:p w14:paraId="387349F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表4  项目招投标及合同签订情况一览表</w:t>
      </w:r>
    </w:p>
    <w:tbl>
      <w:tblPr>
        <w:tblStyle w:val="17"/>
        <w:tblW w:w="1521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449"/>
        <w:gridCol w:w="780"/>
        <w:gridCol w:w="3988"/>
        <w:gridCol w:w="1995"/>
        <w:gridCol w:w="885"/>
        <w:gridCol w:w="1890"/>
        <w:gridCol w:w="2010"/>
        <w:gridCol w:w="1635"/>
        <w:gridCol w:w="1584"/>
      </w:tblGrid>
      <w:tr w14:paraId="66A983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tblHeader/>
          <w:jc w:val="center"/>
        </w:trPr>
        <w:tc>
          <w:tcPr>
            <w:tcW w:w="449" w:type="dxa"/>
            <w:shd w:val="clear" w:color="auto" w:fill="D7D7D7" w:themeFill="background1" w:themeFillShade="D8"/>
            <w:vAlign w:val="center"/>
          </w:tcPr>
          <w:p w14:paraId="348C4C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780" w:type="dxa"/>
            <w:shd w:val="clear" w:color="auto" w:fill="D7D7D7" w:themeFill="background1" w:themeFillShade="D8"/>
            <w:vAlign w:val="center"/>
          </w:tcPr>
          <w:p w14:paraId="1014AE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项目名称</w:t>
            </w:r>
          </w:p>
        </w:tc>
        <w:tc>
          <w:tcPr>
            <w:tcW w:w="3988" w:type="dxa"/>
            <w:shd w:val="clear" w:color="auto" w:fill="D7D7D7" w:themeFill="background1" w:themeFillShade="D8"/>
            <w:vAlign w:val="center"/>
          </w:tcPr>
          <w:p w14:paraId="1E8E7B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标段名称</w:t>
            </w:r>
          </w:p>
        </w:tc>
        <w:tc>
          <w:tcPr>
            <w:tcW w:w="1995" w:type="dxa"/>
            <w:shd w:val="clear" w:color="auto" w:fill="D7D7D7" w:themeFill="background1" w:themeFillShade="D8"/>
            <w:vAlign w:val="center"/>
          </w:tcPr>
          <w:p w14:paraId="79A9C7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中标时间</w:t>
            </w:r>
          </w:p>
        </w:tc>
        <w:tc>
          <w:tcPr>
            <w:tcW w:w="885" w:type="dxa"/>
            <w:shd w:val="clear" w:color="auto" w:fill="D7D7D7" w:themeFill="background1" w:themeFillShade="D8"/>
            <w:vAlign w:val="center"/>
          </w:tcPr>
          <w:p w14:paraId="198B99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服务</w:t>
            </w:r>
          </w:p>
          <w:p w14:paraId="037A74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期限</w:t>
            </w:r>
          </w:p>
        </w:tc>
        <w:tc>
          <w:tcPr>
            <w:tcW w:w="1890" w:type="dxa"/>
            <w:shd w:val="clear" w:color="auto" w:fill="D7D7D7" w:themeFill="background1" w:themeFillShade="D8"/>
            <w:vAlign w:val="center"/>
          </w:tcPr>
          <w:p w14:paraId="7BE57E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中标单位</w:t>
            </w:r>
          </w:p>
        </w:tc>
        <w:tc>
          <w:tcPr>
            <w:tcW w:w="2010" w:type="dxa"/>
            <w:shd w:val="clear" w:color="auto" w:fill="D7D7D7" w:themeFill="background1" w:themeFillShade="D8"/>
            <w:vAlign w:val="center"/>
          </w:tcPr>
          <w:p w14:paraId="476C23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合同签订日期</w:t>
            </w:r>
          </w:p>
        </w:tc>
        <w:tc>
          <w:tcPr>
            <w:tcW w:w="1635" w:type="dxa"/>
            <w:shd w:val="clear" w:color="auto" w:fill="D7D7D7" w:themeFill="background1" w:themeFillShade="D8"/>
            <w:vAlign w:val="center"/>
          </w:tcPr>
          <w:p w14:paraId="173915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项目采购预算</w:t>
            </w:r>
          </w:p>
        </w:tc>
        <w:tc>
          <w:tcPr>
            <w:tcW w:w="1584" w:type="dxa"/>
            <w:shd w:val="clear" w:color="auto" w:fill="D7D7D7" w:themeFill="background1" w:themeFillShade="D8"/>
            <w:vAlign w:val="center"/>
          </w:tcPr>
          <w:p w14:paraId="230180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中标价</w:t>
            </w:r>
          </w:p>
        </w:tc>
      </w:tr>
      <w:tr w14:paraId="4F5249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103BD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780" w:type="dxa"/>
            <w:vMerge w:val="restart"/>
            <w:shd w:val="clear" w:color="auto" w:fill="auto"/>
            <w:vAlign w:val="center"/>
          </w:tcPr>
          <w:p w14:paraId="1C7863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w:t>
            </w:r>
          </w:p>
        </w:tc>
        <w:tc>
          <w:tcPr>
            <w:tcW w:w="3988" w:type="dxa"/>
            <w:shd w:val="clear" w:color="auto" w:fill="auto"/>
            <w:vAlign w:val="center"/>
          </w:tcPr>
          <w:p w14:paraId="724225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扶风县镇级国土空间规划和村庄规划编制项目Ⅰ标 段（天度镇）</w:t>
            </w:r>
          </w:p>
        </w:tc>
        <w:tc>
          <w:tcPr>
            <w:tcW w:w="1995" w:type="dxa"/>
            <w:shd w:val="clear" w:color="auto" w:fill="auto"/>
            <w:vAlign w:val="center"/>
          </w:tcPr>
          <w:p w14:paraId="34044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1F0CDF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180日历天</w:t>
            </w:r>
          </w:p>
        </w:tc>
        <w:tc>
          <w:tcPr>
            <w:tcW w:w="1890" w:type="dxa"/>
            <w:shd w:val="clear" w:color="auto" w:fill="auto"/>
            <w:vAlign w:val="center"/>
          </w:tcPr>
          <w:p w14:paraId="37B1F3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中大设计集团有限公司</w:t>
            </w:r>
          </w:p>
        </w:tc>
        <w:tc>
          <w:tcPr>
            <w:tcW w:w="2010" w:type="dxa"/>
            <w:shd w:val="clear" w:color="auto" w:fill="auto"/>
            <w:vAlign w:val="center"/>
          </w:tcPr>
          <w:p w14:paraId="63A7CB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2EF646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540,000.00 </w:t>
            </w:r>
          </w:p>
        </w:tc>
        <w:tc>
          <w:tcPr>
            <w:tcW w:w="1584" w:type="dxa"/>
            <w:shd w:val="clear" w:color="auto" w:fill="auto"/>
            <w:vAlign w:val="center"/>
          </w:tcPr>
          <w:p w14:paraId="459601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534,000.00 </w:t>
            </w:r>
          </w:p>
        </w:tc>
      </w:tr>
      <w:tr w14:paraId="400633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4243F0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80" w:type="dxa"/>
            <w:vMerge w:val="continue"/>
            <w:shd w:val="clear" w:color="auto" w:fill="auto"/>
            <w:vAlign w:val="center"/>
          </w:tcPr>
          <w:p w14:paraId="56D060F5">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50BD4E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扶风县镇级国土空间规划和村庄规划编制项目Ⅱ标 段（天度镇：南阳村、韩家窑村、晁留村）</w:t>
            </w:r>
          </w:p>
        </w:tc>
        <w:tc>
          <w:tcPr>
            <w:tcW w:w="1995" w:type="dxa"/>
            <w:shd w:val="clear" w:color="auto" w:fill="auto"/>
            <w:vAlign w:val="center"/>
          </w:tcPr>
          <w:p w14:paraId="32755B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191684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2BEBF7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中陕核工业集团地质调查院有 限公司</w:t>
            </w:r>
          </w:p>
        </w:tc>
        <w:tc>
          <w:tcPr>
            <w:tcW w:w="2010" w:type="dxa"/>
            <w:shd w:val="clear" w:color="auto" w:fill="auto"/>
            <w:vAlign w:val="center"/>
          </w:tcPr>
          <w:p w14:paraId="683DA4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1F1647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671A1A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445,000.00 </w:t>
            </w:r>
          </w:p>
        </w:tc>
      </w:tr>
      <w:tr w14:paraId="3E9FF4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6E310B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80" w:type="dxa"/>
            <w:vMerge w:val="continue"/>
            <w:shd w:val="clear" w:color="auto" w:fill="auto"/>
            <w:vAlign w:val="center"/>
          </w:tcPr>
          <w:p w14:paraId="4021BCB2">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404970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扶风县镇级国土空间规划和村庄规划编制项Ⅲ标段（召公镇）</w:t>
            </w:r>
          </w:p>
        </w:tc>
        <w:tc>
          <w:tcPr>
            <w:tcW w:w="1995" w:type="dxa"/>
            <w:shd w:val="clear" w:color="auto" w:fill="auto"/>
            <w:vAlign w:val="center"/>
          </w:tcPr>
          <w:p w14:paraId="1FE9BB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5440E7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180日历天</w:t>
            </w:r>
          </w:p>
        </w:tc>
        <w:tc>
          <w:tcPr>
            <w:tcW w:w="1890" w:type="dxa"/>
            <w:shd w:val="clear" w:color="auto" w:fill="auto"/>
            <w:vAlign w:val="center"/>
          </w:tcPr>
          <w:p w14:paraId="41A783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中天设计集团有限公司</w:t>
            </w:r>
          </w:p>
        </w:tc>
        <w:tc>
          <w:tcPr>
            <w:tcW w:w="2010" w:type="dxa"/>
            <w:shd w:val="clear" w:color="auto" w:fill="auto"/>
            <w:vAlign w:val="center"/>
          </w:tcPr>
          <w:p w14:paraId="2616BF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22213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540,000.00 </w:t>
            </w:r>
          </w:p>
        </w:tc>
        <w:tc>
          <w:tcPr>
            <w:tcW w:w="1584" w:type="dxa"/>
            <w:shd w:val="clear" w:color="auto" w:fill="auto"/>
            <w:vAlign w:val="center"/>
          </w:tcPr>
          <w:p w14:paraId="06983E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530,000.00 </w:t>
            </w:r>
          </w:p>
        </w:tc>
      </w:tr>
      <w:tr w14:paraId="0877B5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163DF4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780" w:type="dxa"/>
            <w:vMerge w:val="continue"/>
            <w:shd w:val="clear" w:color="auto" w:fill="auto"/>
            <w:vAlign w:val="center"/>
          </w:tcPr>
          <w:p w14:paraId="3F99A334">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5D4038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扶风县镇级国土空间规划和村庄规划编制项目Ⅳ示 段（召公镇：召首村、后董村）</w:t>
            </w:r>
          </w:p>
        </w:tc>
        <w:tc>
          <w:tcPr>
            <w:tcW w:w="1995" w:type="dxa"/>
            <w:shd w:val="clear" w:color="auto" w:fill="auto"/>
            <w:vAlign w:val="center"/>
          </w:tcPr>
          <w:p w14:paraId="24B812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5CF32A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36B212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西安华泰测绘工程有限公司</w:t>
            </w:r>
          </w:p>
        </w:tc>
        <w:tc>
          <w:tcPr>
            <w:tcW w:w="2010" w:type="dxa"/>
            <w:shd w:val="clear" w:color="auto" w:fill="auto"/>
            <w:vAlign w:val="center"/>
          </w:tcPr>
          <w:p w14:paraId="00DAC7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2ACC5F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5DA6DB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299,990.00 </w:t>
            </w:r>
          </w:p>
        </w:tc>
      </w:tr>
      <w:tr w14:paraId="4F49A2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0D0082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780" w:type="dxa"/>
            <w:vMerge w:val="continue"/>
            <w:shd w:val="clear" w:color="auto" w:fill="auto"/>
            <w:vAlign w:val="center"/>
          </w:tcPr>
          <w:p w14:paraId="7EDCD3F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1CECF1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扶风县镇级国土空间规划和村庄规划编制项目Ⅴ标段（杏林镇）</w:t>
            </w:r>
          </w:p>
        </w:tc>
        <w:tc>
          <w:tcPr>
            <w:tcW w:w="1995" w:type="dxa"/>
            <w:shd w:val="clear" w:color="auto" w:fill="auto"/>
            <w:vAlign w:val="center"/>
          </w:tcPr>
          <w:p w14:paraId="6EF0AC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6FE74F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180日历天</w:t>
            </w:r>
          </w:p>
        </w:tc>
        <w:tc>
          <w:tcPr>
            <w:tcW w:w="1890" w:type="dxa"/>
            <w:shd w:val="clear" w:color="auto" w:fill="auto"/>
            <w:vAlign w:val="center"/>
          </w:tcPr>
          <w:p w14:paraId="351527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陕西自然资源勘测规划设计院 有限公司</w:t>
            </w:r>
          </w:p>
        </w:tc>
        <w:tc>
          <w:tcPr>
            <w:tcW w:w="2010" w:type="dxa"/>
            <w:shd w:val="clear" w:color="auto" w:fill="auto"/>
            <w:vAlign w:val="center"/>
          </w:tcPr>
          <w:p w14:paraId="3A312C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418670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540,000.00 </w:t>
            </w:r>
          </w:p>
        </w:tc>
        <w:tc>
          <w:tcPr>
            <w:tcW w:w="1584" w:type="dxa"/>
            <w:shd w:val="clear" w:color="auto" w:fill="auto"/>
            <w:vAlign w:val="center"/>
          </w:tcPr>
          <w:p w14:paraId="39D6D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538,900.00 </w:t>
            </w:r>
          </w:p>
        </w:tc>
      </w:tr>
      <w:tr w14:paraId="44E6D7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05F838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780" w:type="dxa"/>
            <w:vMerge w:val="continue"/>
            <w:shd w:val="clear" w:color="auto" w:fill="auto"/>
            <w:vAlign w:val="center"/>
          </w:tcPr>
          <w:p w14:paraId="070F90FA">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52AB57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扶风县镇级国土空间规划和村庄规划编制项目Ⅵ标 段（杏林镇杨家沟村、长命寺村、良峪村）</w:t>
            </w:r>
          </w:p>
        </w:tc>
        <w:tc>
          <w:tcPr>
            <w:tcW w:w="1995" w:type="dxa"/>
            <w:shd w:val="clear" w:color="auto" w:fill="auto"/>
            <w:vAlign w:val="center"/>
          </w:tcPr>
          <w:p w14:paraId="188E4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6C2394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24D913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陕西坤正资源勘测规划设计有 限公司</w:t>
            </w:r>
          </w:p>
        </w:tc>
        <w:tc>
          <w:tcPr>
            <w:tcW w:w="2010" w:type="dxa"/>
            <w:shd w:val="clear" w:color="auto" w:fill="auto"/>
            <w:vAlign w:val="center"/>
          </w:tcPr>
          <w:p w14:paraId="275407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33A661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657A10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448,600.00 </w:t>
            </w:r>
          </w:p>
        </w:tc>
      </w:tr>
      <w:tr w14:paraId="2616B4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352EDB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780" w:type="dxa"/>
            <w:vMerge w:val="continue"/>
            <w:shd w:val="clear" w:color="auto" w:fill="auto"/>
            <w:vAlign w:val="center"/>
          </w:tcPr>
          <w:p w14:paraId="33C234A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035C56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扶风县镇级国土空间规划和村庄规划编制项目Ⅶ 磅（午井镇）</w:t>
            </w:r>
          </w:p>
        </w:tc>
        <w:tc>
          <w:tcPr>
            <w:tcW w:w="1995" w:type="dxa"/>
            <w:shd w:val="clear" w:color="auto" w:fill="auto"/>
            <w:vAlign w:val="center"/>
          </w:tcPr>
          <w:p w14:paraId="384F21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68DDD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180日历天</w:t>
            </w:r>
          </w:p>
        </w:tc>
        <w:tc>
          <w:tcPr>
            <w:tcW w:w="1890" w:type="dxa"/>
            <w:shd w:val="clear" w:color="auto" w:fill="auto"/>
            <w:vAlign w:val="center"/>
          </w:tcPr>
          <w:p w14:paraId="6A46DA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陕西中智汇通设计有限公司</w:t>
            </w:r>
          </w:p>
        </w:tc>
        <w:tc>
          <w:tcPr>
            <w:tcW w:w="2010" w:type="dxa"/>
            <w:shd w:val="clear" w:color="auto" w:fill="auto"/>
            <w:vAlign w:val="center"/>
          </w:tcPr>
          <w:p w14:paraId="54A676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464D21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540,000.00 </w:t>
            </w:r>
          </w:p>
        </w:tc>
        <w:tc>
          <w:tcPr>
            <w:tcW w:w="1584" w:type="dxa"/>
            <w:shd w:val="clear" w:color="auto" w:fill="auto"/>
            <w:vAlign w:val="center"/>
          </w:tcPr>
          <w:p w14:paraId="0B42C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528,000.00 </w:t>
            </w:r>
          </w:p>
        </w:tc>
      </w:tr>
      <w:tr w14:paraId="663EF8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49" w:type="dxa"/>
            <w:shd w:val="clear" w:color="auto" w:fill="auto"/>
            <w:vAlign w:val="center"/>
          </w:tcPr>
          <w:p w14:paraId="4A8E9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780" w:type="dxa"/>
            <w:vMerge w:val="continue"/>
            <w:shd w:val="clear" w:color="auto" w:fill="auto"/>
            <w:vAlign w:val="center"/>
          </w:tcPr>
          <w:p w14:paraId="23707016">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316B1A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扶风县镇级国土空间规划和村庄规划编制项目Ⅷ 标段（午井镇：强家沟村、高望寺村）</w:t>
            </w:r>
          </w:p>
        </w:tc>
        <w:tc>
          <w:tcPr>
            <w:tcW w:w="1995" w:type="dxa"/>
            <w:shd w:val="clear" w:color="auto" w:fill="auto"/>
            <w:vAlign w:val="center"/>
          </w:tcPr>
          <w:p w14:paraId="35C59C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5067F9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2A2341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陕西汉唐工程测绘有限公司</w:t>
            </w:r>
          </w:p>
        </w:tc>
        <w:tc>
          <w:tcPr>
            <w:tcW w:w="2010" w:type="dxa"/>
            <w:shd w:val="clear" w:color="auto" w:fill="auto"/>
            <w:vAlign w:val="center"/>
          </w:tcPr>
          <w:p w14:paraId="031D42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013D0F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65520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299,800.00 </w:t>
            </w:r>
          </w:p>
        </w:tc>
      </w:tr>
      <w:tr w14:paraId="1DCA9B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2603FB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780" w:type="dxa"/>
            <w:vMerge w:val="continue"/>
            <w:shd w:val="clear" w:color="auto" w:fill="auto"/>
            <w:vAlign w:val="center"/>
          </w:tcPr>
          <w:p w14:paraId="43DC2F0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4C07F4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扶风县镇级国土空间规划和村庄规划编制项目Ⅸ标 段（段家镇）</w:t>
            </w:r>
          </w:p>
        </w:tc>
        <w:tc>
          <w:tcPr>
            <w:tcW w:w="1995" w:type="dxa"/>
            <w:shd w:val="clear" w:color="auto" w:fill="auto"/>
            <w:vAlign w:val="center"/>
          </w:tcPr>
          <w:p w14:paraId="7A3B27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7BD206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180日历天</w:t>
            </w:r>
          </w:p>
        </w:tc>
        <w:tc>
          <w:tcPr>
            <w:tcW w:w="1890" w:type="dxa"/>
            <w:shd w:val="clear" w:color="auto" w:fill="auto"/>
            <w:vAlign w:val="center"/>
          </w:tcPr>
          <w:p w14:paraId="38084C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中量设计集团有限公司</w:t>
            </w:r>
          </w:p>
        </w:tc>
        <w:tc>
          <w:tcPr>
            <w:tcW w:w="2010" w:type="dxa"/>
            <w:shd w:val="clear" w:color="auto" w:fill="auto"/>
            <w:vAlign w:val="center"/>
          </w:tcPr>
          <w:p w14:paraId="5F7294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5AFFA4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540,000.00 </w:t>
            </w:r>
          </w:p>
        </w:tc>
        <w:tc>
          <w:tcPr>
            <w:tcW w:w="1584" w:type="dxa"/>
            <w:shd w:val="clear" w:color="auto" w:fill="auto"/>
            <w:vAlign w:val="center"/>
          </w:tcPr>
          <w:p w14:paraId="12962C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523,000.00 </w:t>
            </w:r>
          </w:p>
        </w:tc>
      </w:tr>
      <w:tr w14:paraId="6C5405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5FC42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780" w:type="dxa"/>
            <w:vMerge w:val="continue"/>
            <w:shd w:val="clear" w:color="auto" w:fill="auto"/>
            <w:vAlign w:val="center"/>
          </w:tcPr>
          <w:p w14:paraId="7C758AA4">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63CE38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扶风县镇级国土空间规划和村庄规划编制项目X标 段（段家镇：咎樊村、大同村）</w:t>
            </w:r>
          </w:p>
        </w:tc>
        <w:tc>
          <w:tcPr>
            <w:tcW w:w="1995" w:type="dxa"/>
            <w:shd w:val="clear" w:color="auto" w:fill="auto"/>
            <w:vAlign w:val="center"/>
          </w:tcPr>
          <w:p w14:paraId="6D6A5F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1D9ADE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163B02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陕西瑞海土地规划评估工程有限责任公司</w:t>
            </w:r>
          </w:p>
        </w:tc>
        <w:tc>
          <w:tcPr>
            <w:tcW w:w="2010" w:type="dxa"/>
            <w:shd w:val="clear" w:color="auto" w:fill="auto"/>
            <w:vAlign w:val="center"/>
          </w:tcPr>
          <w:p w14:paraId="4DC634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23C6D7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59DAC4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296,000.00 </w:t>
            </w:r>
          </w:p>
        </w:tc>
      </w:tr>
      <w:tr w14:paraId="59CE4D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4D299D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780" w:type="dxa"/>
            <w:vMerge w:val="continue"/>
            <w:shd w:val="clear" w:color="auto" w:fill="auto"/>
            <w:vAlign w:val="center"/>
          </w:tcPr>
          <w:p w14:paraId="2109F185">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414B0B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扶风县镇级国土空间规划和村庄规划编制项目XI标 段（城关街道办：西官村、黄甫村）</w:t>
            </w:r>
          </w:p>
        </w:tc>
        <w:tc>
          <w:tcPr>
            <w:tcW w:w="1995" w:type="dxa"/>
            <w:shd w:val="clear" w:color="auto" w:fill="auto"/>
            <w:vAlign w:val="center"/>
          </w:tcPr>
          <w:p w14:paraId="43CE1C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34F70D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310FAE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陕西世纪蓝土地勘测规划设计 有限责任公司</w:t>
            </w:r>
          </w:p>
        </w:tc>
        <w:tc>
          <w:tcPr>
            <w:tcW w:w="2010" w:type="dxa"/>
            <w:shd w:val="clear" w:color="auto" w:fill="auto"/>
            <w:vAlign w:val="center"/>
          </w:tcPr>
          <w:p w14:paraId="657EDA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3E472B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50CC9E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298,200.00 </w:t>
            </w:r>
          </w:p>
        </w:tc>
      </w:tr>
      <w:tr w14:paraId="3C3BA9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49" w:type="dxa"/>
            <w:shd w:val="clear" w:color="auto" w:fill="auto"/>
            <w:vAlign w:val="center"/>
          </w:tcPr>
          <w:p w14:paraId="3E10C1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780" w:type="dxa"/>
            <w:vMerge w:val="continue"/>
            <w:shd w:val="clear" w:color="auto" w:fill="auto"/>
            <w:vAlign w:val="center"/>
          </w:tcPr>
          <w:p w14:paraId="4ECF9D6E">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74C257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扶风县镇级国土空间规划和村庄规划编制项目Ⅻ 标段（绛帐镇：凤鸣村、西渠村、龙渠寺村）</w:t>
            </w:r>
          </w:p>
        </w:tc>
        <w:tc>
          <w:tcPr>
            <w:tcW w:w="1995" w:type="dxa"/>
            <w:shd w:val="clear" w:color="auto" w:fill="auto"/>
            <w:vAlign w:val="center"/>
          </w:tcPr>
          <w:p w14:paraId="225498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2023年10月11日</w:t>
            </w:r>
          </w:p>
        </w:tc>
        <w:tc>
          <w:tcPr>
            <w:tcW w:w="885" w:type="dxa"/>
            <w:shd w:val="clear" w:color="auto" w:fill="auto"/>
            <w:vAlign w:val="center"/>
          </w:tcPr>
          <w:p w14:paraId="7F8057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6C304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西安坐标原点地理空间研究院 有限公司</w:t>
            </w:r>
          </w:p>
        </w:tc>
        <w:tc>
          <w:tcPr>
            <w:tcW w:w="2010" w:type="dxa"/>
            <w:shd w:val="clear" w:color="auto" w:fill="auto"/>
            <w:vAlign w:val="center"/>
          </w:tcPr>
          <w:p w14:paraId="5B7FB7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2023年10月26日</w:t>
            </w:r>
          </w:p>
        </w:tc>
        <w:tc>
          <w:tcPr>
            <w:tcW w:w="1635" w:type="dxa"/>
            <w:shd w:val="clear" w:color="auto" w:fill="auto"/>
            <w:vAlign w:val="center"/>
          </w:tcPr>
          <w:p w14:paraId="5EA9D4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25643E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448,500.00 </w:t>
            </w:r>
          </w:p>
        </w:tc>
      </w:tr>
      <w:tr w14:paraId="2D13F5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599D4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780" w:type="dxa"/>
            <w:vMerge w:val="restart"/>
            <w:shd w:val="clear" w:color="auto" w:fill="auto"/>
            <w:vAlign w:val="center"/>
          </w:tcPr>
          <w:p w14:paraId="633B3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w:t>
            </w:r>
          </w:p>
        </w:tc>
        <w:tc>
          <w:tcPr>
            <w:tcW w:w="3988" w:type="dxa"/>
            <w:shd w:val="clear" w:color="auto" w:fill="auto"/>
            <w:vAlign w:val="center"/>
          </w:tcPr>
          <w:p w14:paraId="7D9BDE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扶风县2024年村庄规划编制项目一标段（绛帐镇罗家村、上宋村）</w:t>
            </w:r>
          </w:p>
        </w:tc>
        <w:tc>
          <w:tcPr>
            <w:tcW w:w="1995" w:type="dxa"/>
            <w:shd w:val="clear" w:color="auto" w:fill="auto"/>
            <w:vAlign w:val="center"/>
          </w:tcPr>
          <w:p w14:paraId="1E2F18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756E1C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391B88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陕西迪博景源测绘地理信息有限公司</w:t>
            </w:r>
          </w:p>
        </w:tc>
        <w:tc>
          <w:tcPr>
            <w:tcW w:w="2010" w:type="dxa"/>
            <w:shd w:val="clear" w:color="auto" w:fill="auto"/>
            <w:vAlign w:val="center"/>
          </w:tcPr>
          <w:p w14:paraId="2F3A9E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11BD97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23AB19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299,001.50 </w:t>
            </w:r>
          </w:p>
        </w:tc>
      </w:tr>
      <w:tr w14:paraId="30FB5F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49" w:type="dxa"/>
            <w:shd w:val="clear" w:color="auto" w:fill="auto"/>
            <w:vAlign w:val="center"/>
          </w:tcPr>
          <w:p w14:paraId="411EAD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780" w:type="dxa"/>
            <w:vMerge w:val="continue"/>
            <w:shd w:val="clear" w:color="auto" w:fill="auto"/>
            <w:vAlign w:val="center"/>
          </w:tcPr>
          <w:p w14:paraId="7D35163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519866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扶风县2024年村庄规划编制项目二标段（召公镇吴家村、召光村、西吕村）</w:t>
            </w:r>
          </w:p>
        </w:tc>
        <w:tc>
          <w:tcPr>
            <w:tcW w:w="1995" w:type="dxa"/>
            <w:shd w:val="clear" w:color="auto" w:fill="auto"/>
            <w:vAlign w:val="center"/>
          </w:tcPr>
          <w:p w14:paraId="3A458A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062109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4C9EDC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中量设计集团有限公司</w:t>
            </w:r>
          </w:p>
        </w:tc>
        <w:tc>
          <w:tcPr>
            <w:tcW w:w="2010" w:type="dxa"/>
            <w:shd w:val="clear" w:color="auto" w:fill="auto"/>
            <w:vAlign w:val="center"/>
          </w:tcPr>
          <w:p w14:paraId="7C0A09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2A3094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788397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438,000.00 </w:t>
            </w:r>
          </w:p>
        </w:tc>
      </w:tr>
      <w:tr w14:paraId="0BD77A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19E840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780" w:type="dxa"/>
            <w:vMerge w:val="continue"/>
            <w:shd w:val="clear" w:color="auto" w:fill="auto"/>
            <w:vAlign w:val="center"/>
          </w:tcPr>
          <w:p w14:paraId="5ABAFE8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1A62AE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扶风县2024年村庄规划编制项目三标段（天度镇闫马村、齐横村、下寨村）</w:t>
            </w:r>
          </w:p>
        </w:tc>
        <w:tc>
          <w:tcPr>
            <w:tcW w:w="1995" w:type="dxa"/>
            <w:shd w:val="clear" w:color="auto" w:fill="auto"/>
            <w:vAlign w:val="center"/>
          </w:tcPr>
          <w:p w14:paraId="1BCE06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57CE4C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33A2AB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陕西中飞天地理信息科技有限公司</w:t>
            </w:r>
          </w:p>
        </w:tc>
        <w:tc>
          <w:tcPr>
            <w:tcW w:w="2010" w:type="dxa"/>
            <w:shd w:val="clear" w:color="auto" w:fill="auto"/>
            <w:vAlign w:val="center"/>
          </w:tcPr>
          <w:p w14:paraId="503C0A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6A3B7B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268278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449,000.00 </w:t>
            </w:r>
          </w:p>
        </w:tc>
      </w:tr>
      <w:tr w14:paraId="687BD1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5FC9A3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780" w:type="dxa"/>
            <w:vMerge w:val="continue"/>
            <w:shd w:val="clear" w:color="auto" w:fill="auto"/>
            <w:vAlign w:val="center"/>
          </w:tcPr>
          <w:p w14:paraId="0BB8C62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19E359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扶风县2024年村庄规划编制项目四标段（天度镇鲁马村、侯李村、强家村）</w:t>
            </w:r>
          </w:p>
        </w:tc>
        <w:tc>
          <w:tcPr>
            <w:tcW w:w="1995" w:type="dxa"/>
            <w:shd w:val="clear" w:color="auto" w:fill="auto"/>
            <w:vAlign w:val="center"/>
          </w:tcPr>
          <w:p w14:paraId="06B0B5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1CFA90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3CBCFF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西安天穹勘测规划设计有限公司</w:t>
            </w:r>
          </w:p>
        </w:tc>
        <w:tc>
          <w:tcPr>
            <w:tcW w:w="2010" w:type="dxa"/>
            <w:shd w:val="clear" w:color="auto" w:fill="auto"/>
            <w:vAlign w:val="center"/>
          </w:tcPr>
          <w:p w14:paraId="5B69EF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794AF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52D19B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441,600.00 </w:t>
            </w:r>
          </w:p>
        </w:tc>
      </w:tr>
      <w:tr w14:paraId="65DBAC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5BF778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780" w:type="dxa"/>
            <w:vMerge w:val="continue"/>
            <w:shd w:val="clear" w:color="auto" w:fill="auto"/>
            <w:vAlign w:val="center"/>
          </w:tcPr>
          <w:p w14:paraId="16DA638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389EAC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扶风县2024年村庄规划编制项目五标段（午井镇小寨村、吕家庄村、官坡村）</w:t>
            </w:r>
          </w:p>
        </w:tc>
        <w:tc>
          <w:tcPr>
            <w:tcW w:w="1995" w:type="dxa"/>
            <w:shd w:val="clear" w:color="auto" w:fill="auto"/>
            <w:vAlign w:val="center"/>
          </w:tcPr>
          <w:p w14:paraId="28140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7A4B4B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405B1F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西安华泰测绘工程有限公司</w:t>
            </w:r>
          </w:p>
        </w:tc>
        <w:tc>
          <w:tcPr>
            <w:tcW w:w="2010" w:type="dxa"/>
            <w:shd w:val="clear" w:color="auto" w:fill="auto"/>
            <w:vAlign w:val="center"/>
          </w:tcPr>
          <w:p w14:paraId="53AE3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3A1692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450,000.00 </w:t>
            </w:r>
          </w:p>
        </w:tc>
        <w:tc>
          <w:tcPr>
            <w:tcW w:w="1584" w:type="dxa"/>
            <w:shd w:val="clear" w:color="auto" w:fill="auto"/>
            <w:vAlign w:val="center"/>
          </w:tcPr>
          <w:p w14:paraId="0E8381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449,666.00 </w:t>
            </w:r>
          </w:p>
        </w:tc>
      </w:tr>
      <w:tr w14:paraId="2AA05E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79C958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780" w:type="dxa"/>
            <w:vMerge w:val="continue"/>
            <w:shd w:val="clear" w:color="auto" w:fill="auto"/>
            <w:vAlign w:val="center"/>
          </w:tcPr>
          <w:p w14:paraId="26D8202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45B069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扶风县2024年村庄规划编制项目六标段（段家镇青龙村、沟老村）</w:t>
            </w:r>
          </w:p>
        </w:tc>
        <w:tc>
          <w:tcPr>
            <w:tcW w:w="1995" w:type="dxa"/>
            <w:shd w:val="clear" w:color="auto" w:fill="auto"/>
            <w:vAlign w:val="center"/>
          </w:tcPr>
          <w:p w14:paraId="381067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0185CE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0A6EE6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西安理工大规划建筑设计研究院有限公司</w:t>
            </w:r>
          </w:p>
        </w:tc>
        <w:tc>
          <w:tcPr>
            <w:tcW w:w="2010" w:type="dxa"/>
            <w:shd w:val="clear" w:color="auto" w:fill="auto"/>
            <w:vAlign w:val="center"/>
          </w:tcPr>
          <w:p w14:paraId="658738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47F1A6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2E3C72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299,000.00 </w:t>
            </w:r>
          </w:p>
        </w:tc>
      </w:tr>
      <w:tr w14:paraId="518A49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449" w:type="dxa"/>
            <w:shd w:val="clear" w:color="auto" w:fill="auto"/>
            <w:vAlign w:val="center"/>
          </w:tcPr>
          <w:p w14:paraId="7C2F61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780" w:type="dxa"/>
            <w:vMerge w:val="continue"/>
            <w:shd w:val="clear" w:color="auto" w:fill="auto"/>
            <w:vAlign w:val="center"/>
          </w:tcPr>
          <w:p w14:paraId="2CAC66FA">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1"/>
                <w:szCs w:val="21"/>
                <w:u w:val="none"/>
              </w:rPr>
            </w:pPr>
          </w:p>
        </w:tc>
        <w:tc>
          <w:tcPr>
            <w:tcW w:w="3988" w:type="dxa"/>
            <w:shd w:val="clear" w:color="auto" w:fill="auto"/>
            <w:vAlign w:val="center"/>
          </w:tcPr>
          <w:p w14:paraId="37B255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扶风县2024年村庄规划编制项目七标段（杏林镇西坡村、三官庙村）</w:t>
            </w:r>
          </w:p>
        </w:tc>
        <w:tc>
          <w:tcPr>
            <w:tcW w:w="1995" w:type="dxa"/>
            <w:shd w:val="clear" w:color="auto" w:fill="auto"/>
            <w:vAlign w:val="center"/>
          </w:tcPr>
          <w:p w14:paraId="37D835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2024年4月8日</w:t>
            </w:r>
          </w:p>
        </w:tc>
        <w:tc>
          <w:tcPr>
            <w:tcW w:w="885" w:type="dxa"/>
            <w:shd w:val="clear" w:color="auto" w:fill="auto"/>
            <w:vAlign w:val="center"/>
          </w:tcPr>
          <w:p w14:paraId="56E3B1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90日历天</w:t>
            </w:r>
          </w:p>
        </w:tc>
        <w:tc>
          <w:tcPr>
            <w:tcW w:w="1890" w:type="dxa"/>
            <w:shd w:val="clear" w:color="auto" w:fill="auto"/>
            <w:vAlign w:val="center"/>
          </w:tcPr>
          <w:p w14:paraId="2FC760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陕西世纪蓝土地勘测规划设计有限责任公司</w:t>
            </w:r>
          </w:p>
        </w:tc>
        <w:tc>
          <w:tcPr>
            <w:tcW w:w="2010" w:type="dxa"/>
            <w:shd w:val="clear" w:color="auto" w:fill="auto"/>
            <w:vAlign w:val="center"/>
          </w:tcPr>
          <w:p w14:paraId="65CD3A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未明确</w:t>
            </w:r>
          </w:p>
        </w:tc>
        <w:tc>
          <w:tcPr>
            <w:tcW w:w="1635" w:type="dxa"/>
            <w:shd w:val="clear" w:color="auto" w:fill="auto"/>
            <w:vAlign w:val="center"/>
          </w:tcPr>
          <w:p w14:paraId="03A8B8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300,000.00 </w:t>
            </w:r>
          </w:p>
        </w:tc>
        <w:tc>
          <w:tcPr>
            <w:tcW w:w="1584" w:type="dxa"/>
            <w:shd w:val="clear" w:color="auto" w:fill="auto"/>
            <w:vAlign w:val="center"/>
          </w:tcPr>
          <w:p w14:paraId="4982D2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298,000.00 </w:t>
            </w:r>
          </w:p>
        </w:tc>
      </w:tr>
      <w:tr w14:paraId="69E61B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11997" w:type="dxa"/>
            <w:gridSpan w:val="7"/>
            <w:shd w:val="clear" w:color="auto" w:fill="auto"/>
            <w:vAlign w:val="center"/>
          </w:tcPr>
          <w:p w14:paraId="25DB3DC2">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合计</w:t>
            </w:r>
          </w:p>
        </w:tc>
        <w:tc>
          <w:tcPr>
            <w:tcW w:w="1635" w:type="dxa"/>
            <w:shd w:val="clear" w:color="auto" w:fill="auto"/>
            <w:vAlign w:val="center"/>
          </w:tcPr>
          <w:p w14:paraId="26780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 xml:space="preserve">7,950,000.00 </w:t>
            </w:r>
          </w:p>
        </w:tc>
        <w:tc>
          <w:tcPr>
            <w:tcW w:w="1584" w:type="dxa"/>
            <w:shd w:val="clear" w:color="auto" w:fill="auto"/>
            <w:vAlign w:val="center"/>
          </w:tcPr>
          <w:p w14:paraId="363D46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 xml:space="preserve">7,864,257.50 </w:t>
            </w:r>
          </w:p>
        </w:tc>
      </w:tr>
    </w:tbl>
    <w:p w14:paraId="5B6C18C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50" w:firstLineChars="200"/>
        <w:jc w:val="both"/>
        <w:textAlignment w:val="auto"/>
        <w:rPr>
          <w:rFonts w:hint="eastAsia" w:ascii="仿宋" w:hAnsi="仿宋" w:eastAsia="仿宋" w:cs="仿宋"/>
          <w:color w:val="auto"/>
          <w:kern w:val="2"/>
          <w:sz w:val="32"/>
          <w:szCs w:val="32"/>
          <w:highlight w:val="none"/>
          <w:lang w:val="en-US" w:eastAsia="zh-CN" w:bidi="ar-SA"/>
        </w:rPr>
        <w:sectPr>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0" w:num="1"/>
          <w:titlePg/>
          <w:rtlGutter w:val="0"/>
          <w:docGrid w:type="linesAndChars" w:linePitch="332" w:charSpace="1024"/>
        </w:sectPr>
      </w:pPr>
    </w:p>
    <w:p w14:paraId="73BA1AF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52"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2024年12月</w:t>
      </w:r>
      <w:r>
        <w:rPr>
          <w:rFonts w:hint="eastAsia" w:ascii="仿宋_GB2312" w:hAnsi="仿宋_GB2312" w:eastAsia="仿宋_GB2312" w:cs="仿宋_GB2312"/>
          <w:color w:val="auto"/>
          <w:kern w:val="2"/>
          <w:sz w:val="32"/>
          <w:szCs w:val="32"/>
          <w:highlight w:val="none"/>
          <w:lang w:val="en-US" w:eastAsia="zh-CN" w:bidi="ar-SA"/>
        </w:rPr>
        <w:t>扶风县自然资源局组织开展了实用性村庄规划质量评估工作，2025年1月将质量评估情况上报宝鸡市自然资源和规划局。评估结论显示“扶风县村庄规划编制程序完整程度较好，规划成果形式评估和符合性评估各类评估要素齐全完整，整体情况良好。但仍需在数据库和村民版成果和备案版成果相关章节上进一步整改存在问题、提升质量”。</w:t>
      </w:r>
    </w:p>
    <w:p w14:paraId="2B7E09D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52"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2025年6月16日扶风县人民政府以《关于城关街道、绛帐镇等8个镇（街）61个行政村实用性村庄规划（2021-2023 年）的批复》（扶政函〔2025〕8号）文件同意该规划并下发至各镇人民政府、街道办事处，要求严格按规划组织实施。</w:t>
      </w:r>
    </w:p>
    <w:p w14:paraId="1F08F719">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项目从2023年9月起开始实施，截至2025年6月基本完成了项目内容。项目主要绩效目标完成情况详见表5。</w:t>
      </w:r>
    </w:p>
    <w:p w14:paraId="758E6926">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2"/>
          <w:sz w:val="28"/>
          <w:szCs w:val="28"/>
          <w:highlight w:val="none"/>
          <w:lang w:val="en-US" w:eastAsia="zh-CN" w:bidi="ar-SA"/>
        </w:rPr>
        <w:t xml:space="preserve">表5 </w:t>
      </w:r>
      <w:r>
        <w:rPr>
          <w:rFonts w:hint="eastAsia" w:ascii="仿宋_GB2312" w:hAnsi="仿宋_GB2312" w:eastAsia="仿宋_GB2312" w:cs="仿宋_GB2312"/>
          <w:b/>
          <w:bCs/>
          <w:sz w:val="28"/>
          <w:szCs w:val="28"/>
          <w:lang w:val="en-US" w:eastAsia="zh-CN"/>
        </w:rPr>
        <w:t xml:space="preserve"> 项目</w:t>
      </w:r>
      <w:r>
        <w:rPr>
          <w:rFonts w:hint="eastAsia" w:ascii="仿宋_GB2312" w:hAnsi="仿宋_GB2312" w:eastAsia="仿宋_GB2312" w:cs="仿宋_GB2312"/>
          <w:b/>
          <w:bCs/>
          <w:color w:val="auto"/>
          <w:sz w:val="28"/>
          <w:szCs w:val="28"/>
          <w:lang w:val="en-US" w:eastAsia="zh-CN"/>
        </w:rPr>
        <w:t>绩效目标任务完成情况表</w:t>
      </w:r>
    </w:p>
    <w:tbl>
      <w:tblPr>
        <w:tblStyle w:val="18"/>
        <w:tblW w:w="8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68"/>
        <w:gridCol w:w="1088"/>
        <w:gridCol w:w="2875"/>
        <w:gridCol w:w="1878"/>
        <w:gridCol w:w="1704"/>
        <w:gridCol w:w="663"/>
      </w:tblGrid>
      <w:tr w14:paraId="5151D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tblHeader/>
          <w:jc w:val="center"/>
        </w:trPr>
        <w:tc>
          <w:tcPr>
            <w:tcW w:w="768" w:type="dxa"/>
            <w:vMerge w:val="restart"/>
            <w:tcBorders>
              <w:left w:val="nil"/>
            </w:tcBorders>
            <w:shd w:val="clear" w:color="auto" w:fill="D7D7D7"/>
            <w:noWrap w:val="0"/>
            <w:vAlign w:val="center"/>
          </w:tcPr>
          <w:p w14:paraId="1A52468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一级</w:t>
            </w:r>
          </w:p>
          <w:p w14:paraId="47B74D8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1"/>
                <w:szCs w:val="21"/>
                <w:highlight w:val="none"/>
                <w:vertAlign w:val="baseline"/>
                <w:lang w:val="en-US" w:eastAsia="zh-CN"/>
              </w:rPr>
              <w:t>指标</w:t>
            </w:r>
          </w:p>
        </w:tc>
        <w:tc>
          <w:tcPr>
            <w:tcW w:w="1088" w:type="dxa"/>
            <w:vMerge w:val="restart"/>
            <w:shd w:val="clear" w:color="auto" w:fill="D7D7D7"/>
            <w:noWrap w:val="0"/>
            <w:vAlign w:val="center"/>
          </w:tcPr>
          <w:p w14:paraId="3F73CA5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二级指标</w:t>
            </w:r>
          </w:p>
        </w:tc>
        <w:tc>
          <w:tcPr>
            <w:tcW w:w="2875" w:type="dxa"/>
            <w:vMerge w:val="restart"/>
            <w:shd w:val="clear" w:color="auto" w:fill="D7D7D7"/>
            <w:noWrap w:val="0"/>
            <w:vAlign w:val="center"/>
          </w:tcPr>
          <w:p w14:paraId="5E66078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三级指标</w:t>
            </w:r>
          </w:p>
        </w:tc>
        <w:tc>
          <w:tcPr>
            <w:tcW w:w="1878" w:type="dxa"/>
            <w:vMerge w:val="restart"/>
            <w:shd w:val="clear" w:color="auto" w:fill="D7D7D7"/>
            <w:noWrap w:val="0"/>
            <w:vAlign w:val="center"/>
          </w:tcPr>
          <w:p w14:paraId="1F3971D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sz w:val="21"/>
                <w:szCs w:val="21"/>
                <w:highlight w:val="none"/>
                <w:vertAlign w:val="baseline"/>
                <w:lang w:val="en-US" w:eastAsia="zh-CN"/>
              </w:rPr>
            </w:pPr>
            <w:r>
              <w:rPr>
                <w:rFonts w:hint="eastAsia" w:ascii="仿宋_GB2312" w:hAnsi="仿宋_GB2312" w:eastAsia="仿宋_GB2312" w:cs="仿宋_GB2312"/>
                <w:b/>
                <w:bCs/>
                <w:sz w:val="21"/>
                <w:szCs w:val="21"/>
                <w:highlight w:val="none"/>
                <w:vertAlign w:val="baseline"/>
                <w:lang w:val="en-US" w:eastAsia="zh-CN"/>
              </w:rPr>
              <w:t>目标值</w:t>
            </w:r>
          </w:p>
        </w:tc>
        <w:tc>
          <w:tcPr>
            <w:tcW w:w="1704" w:type="dxa"/>
            <w:vMerge w:val="restart"/>
            <w:shd w:val="clear" w:color="auto" w:fill="D7D7D7"/>
            <w:noWrap w:val="0"/>
            <w:vAlign w:val="center"/>
          </w:tcPr>
          <w:p w14:paraId="5EA2A0D3">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sz w:val="21"/>
                <w:szCs w:val="21"/>
                <w:highlight w:val="none"/>
                <w:vertAlign w:val="baseline"/>
                <w:lang w:val="en-US" w:eastAsia="zh-CN"/>
              </w:rPr>
            </w:pPr>
            <w:r>
              <w:rPr>
                <w:rFonts w:hint="eastAsia" w:ascii="仿宋_GB2312" w:hAnsi="仿宋_GB2312" w:eastAsia="仿宋_GB2312" w:cs="仿宋_GB2312"/>
                <w:b/>
                <w:bCs/>
                <w:sz w:val="21"/>
                <w:szCs w:val="21"/>
                <w:highlight w:val="none"/>
                <w:vertAlign w:val="baseline"/>
                <w:lang w:val="en-US" w:eastAsia="zh-CN"/>
              </w:rPr>
              <w:t>完成值</w:t>
            </w:r>
          </w:p>
        </w:tc>
        <w:tc>
          <w:tcPr>
            <w:tcW w:w="663" w:type="dxa"/>
            <w:vMerge w:val="restart"/>
            <w:tcBorders>
              <w:right w:val="nil"/>
            </w:tcBorders>
            <w:shd w:val="clear" w:color="auto" w:fill="D7D7D7"/>
            <w:noWrap w:val="0"/>
            <w:vAlign w:val="center"/>
          </w:tcPr>
          <w:p w14:paraId="5B87F94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b/>
                <w:bCs/>
                <w:sz w:val="21"/>
                <w:szCs w:val="21"/>
                <w:highlight w:val="none"/>
                <w:vertAlign w:val="baseline"/>
                <w:lang w:val="en-US" w:eastAsia="zh-CN"/>
              </w:rPr>
            </w:pPr>
            <w:r>
              <w:rPr>
                <w:rFonts w:hint="eastAsia" w:ascii="仿宋_GB2312" w:hAnsi="仿宋_GB2312" w:eastAsia="仿宋_GB2312" w:cs="仿宋_GB2312"/>
                <w:b/>
                <w:bCs/>
                <w:sz w:val="21"/>
                <w:szCs w:val="21"/>
                <w:highlight w:val="none"/>
                <w:vertAlign w:val="baseline"/>
                <w:lang w:val="en-US" w:eastAsia="zh-CN"/>
              </w:rPr>
              <w:t>完成情况</w:t>
            </w:r>
          </w:p>
        </w:tc>
      </w:tr>
      <w:tr w14:paraId="73E9E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2" w:hRule="atLeast"/>
          <w:tblHeader/>
          <w:jc w:val="center"/>
        </w:trPr>
        <w:tc>
          <w:tcPr>
            <w:tcW w:w="768" w:type="dxa"/>
            <w:vMerge w:val="continue"/>
            <w:tcBorders>
              <w:left w:val="nil"/>
            </w:tcBorders>
            <w:shd w:val="clear" w:color="auto" w:fill="D7D7D7"/>
            <w:noWrap w:val="0"/>
            <w:vAlign w:val="center"/>
          </w:tcPr>
          <w:p w14:paraId="2D04B99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088" w:type="dxa"/>
            <w:vMerge w:val="continue"/>
            <w:shd w:val="clear" w:color="auto" w:fill="D7D7D7"/>
            <w:noWrap w:val="0"/>
            <w:vAlign w:val="center"/>
          </w:tcPr>
          <w:p w14:paraId="2A08635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2875" w:type="dxa"/>
            <w:vMerge w:val="continue"/>
            <w:shd w:val="clear" w:color="auto" w:fill="D7D7D7"/>
            <w:noWrap w:val="0"/>
            <w:vAlign w:val="center"/>
          </w:tcPr>
          <w:p w14:paraId="620B1CF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878" w:type="dxa"/>
            <w:vMerge w:val="continue"/>
            <w:shd w:val="clear" w:color="auto" w:fill="D7D7D7"/>
            <w:noWrap w:val="0"/>
            <w:vAlign w:val="center"/>
          </w:tcPr>
          <w:p w14:paraId="1BEE87B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highlight w:val="none"/>
                <w:vertAlign w:val="baseline"/>
                <w:lang w:val="en-US" w:eastAsia="zh-CN"/>
              </w:rPr>
            </w:pPr>
          </w:p>
        </w:tc>
        <w:tc>
          <w:tcPr>
            <w:tcW w:w="1704" w:type="dxa"/>
            <w:vMerge w:val="continue"/>
            <w:shd w:val="clear" w:color="auto" w:fill="D7D7D7"/>
            <w:noWrap w:val="0"/>
            <w:vAlign w:val="center"/>
          </w:tcPr>
          <w:p w14:paraId="20ABD0D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highlight w:val="none"/>
                <w:vertAlign w:val="baseline"/>
                <w:lang w:val="en-US" w:eastAsia="zh-CN"/>
              </w:rPr>
            </w:pPr>
          </w:p>
        </w:tc>
        <w:tc>
          <w:tcPr>
            <w:tcW w:w="663" w:type="dxa"/>
            <w:vMerge w:val="continue"/>
            <w:tcBorders>
              <w:right w:val="nil"/>
            </w:tcBorders>
            <w:shd w:val="clear" w:color="auto" w:fill="D7D7D7"/>
            <w:noWrap w:val="0"/>
            <w:vAlign w:val="center"/>
          </w:tcPr>
          <w:p w14:paraId="1633576D">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highlight w:val="none"/>
                <w:vertAlign w:val="baseline"/>
                <w:lang w:val="en-US" w:eastAsia="zh-CN"/>
              </w:rPr>
            </w:pPr>
          </w:p>
        </w:tc>
      </w:tr>
      <w:tr w14:paraId="28FCC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0" w:hRule="atLeast"/>
          <w:jc w:val="center"/>
        </w:trPr>
        <w:tc>
          <w:tcPr>
            <w:tcW w:w="768" w:type="dxa"/>
            <w:tcBorders>
              <w:left w:val="nil"/>
            </w:tcBorders>
            <w:noWrap w:val="0"/>
            <w:vAlign w:val="center"/>
          </w:tcPr>
          <w:p w14:paraId="3A77897D">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成本指标</w:t>
            </w:r>
          </w:p>
        </w:tc>
        <w:tc>
          <w:tcPr>
            <w:tcW w:w="1088" w:type="dxa"/>
            <w:noWrap w:val="0"/>
            <w:vAlign w:val="center"/>
          </w:tcPr>
          <w:p w14:paraId="603C776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spacing w:val="-6"/>
                <w:kern w:val="2"/>
                <w:sz w:val="21"/>
                <w:szCs w:val="21"/>
                <w:highlight w:val="none"/>
                <w:vertAlign w:val="baseline"/>
                <w:lang w:val="en-US" w:eastAsia="zh-CN" w:bidi="ar-SA"/>
              </w:rPr>
              <w:t>经济成本指标</w:t>
            </w:r>
          </w:p>
        </w:tc>
        <w:tc>
          <w:tcPr>
            <w:tcW w:w="2875" w:type="dxa"/>
            <w:shd w:val="clear" w:color="auto" w:fill="auto"/>
            <w:noWrap w:val="0"/>
            <w:vAlign w:val="center"/>
          </w:tcPr>
          <w:p w14:paraId="217440A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预算资金（元）</w:t>
            </w:r>
          </w:p>
        </w:tc>
        <w:tc>
          <w:tcPr>
            <w:tcW w:w="1878" w:type="dxa"/>
            <w:shd w:val="clear" w:color="auto" w:fill="auto"/>
            <w:noWrap w:val="0"/>
            <w:vAlign w:val="center"/>
          </w:tcPr>
          <w:p w14:paraId="6B166733">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≤5,000,000.00元</w:t>
            </w:r>
          </w:p>
        </w:tc>
        <w:tc>
          <w:tcPr>
            <w:tcW w:w="1704" w:type="dxa"/>
            <w:shd w:val="clear" w:color="auto" w:fill="auto"/>
            <w:noWrap w:val="0"/>
            <w:vAlign w:val="center"/>
          </w:tcPr>
          <w:p w14:paraId="5D238E5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宋体" w:eastAsia="仿宋_GB2312" w:cs="仿宋_GB2312"/>
                <w:i w:val="0"/>
                <w:iCs w:val="0"/>
                <w:color w:val="000000"/>
                <w:kern w:val="0"/>
                <w:sz w:val="21"/>
                <w:szCs w:val="21"/>
                <w:u w:val="none"/>
                <w:lang w:val="en-US" w:eastAsia="zh-CN" w:bidi="ar"/>
              </w:rPr>
              <w:t>4,999,999.99元</w:t>
            </w:r>
          </w:p>
        </w:tc>
        <w:tc>
          <w:tcPr>
            <w:tcW w:w="663" w:type="dxa"/>
            <w:tcBorders>
              <w:right w:val="nil"/>
            </w:tcBorders>
            <w:shd w:val="clear" w:color="auto" w:fill="auto"/>
            <w:noWrap w:val="0"/>
            <w:vAlign w:val="center"/>
          </w:tcPr>
          <w:p w14:paraId="372EE9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b/>
                <w:bCs/>
                <w:color w:val="auto"/>
                <w:kern w:val="2"/>
                <w:sz w:val="21"/>
                <w:szCs w:val="21"/>
                <w:highlight w:val="green"/>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50555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768" w:type="dxa"/>
            <w:vMerge w:val="restart"/>
            <w:tcBorders>
              <w:left w:val="nil"/>
            </w:tcBorders>
            <w:noWrap w:val="0"/>
            <w:vAlign w:val="center"/>
          </w:tcPr>
          <w:p w14:paraId="477667C0">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产出指标</w:t>
            </w:r>
          </w:p>
        </w:tc>
        <w:tc>
          <w:tcPr>
            <w:tcW w:w="1088" w:type="dxa"/>
            <w:vMerge w:val="restart"/>
            <w:noWrap w:val="0"/>
            <w:vAlign w:val="center"/>
          </w:tcPr>
          <w:p w14:paraId="3B45697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数量指标</w:t>
            </w:r>
          </w:p>
        </w:tc>
        <w:tc>
          <w:tcPr>
            <w:tcW w:w="2875" w:type="dxa"/>
            <w:noWrap w:val="0"/>
            <w:vAlign w:val="center"/>
          </w:tcPr>
          <w:p w14:paraId="78491804">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村庄规划</w:t>
            </w:r>
          </w:p>
        </w:tc>
        <w:tc>
          <w:tcPr>
            <w:tcW w:w="1878" w:type="dxa"/>
            <w:noWrap w:val="0"/>
            <w:vAlign w:val="center"/>
          </w:tcPr>
          <w:p w14:paraId="1DAF8BC3">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35个</w:t>
            </w:r>
          </w:p>
        </w:tc>
        <w:tc>
          <w:tcPr>
            <w:tcW w:w="1704" w:type="dxa"/>
            <w:noWrap w:val="0"/>
            <w:vAlign w:val="center"/>
          </w:tcPr>
          <w:p w14:paraId="717E89AB">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35个</w:t>
            </w:r>
          </w:p>
        </w:tc>
        <w:tc>
          <w:tcPr>
            <w:tcW w:w="663" w:type="dxa"/>
            <w:tcBorders>
              <w:right w:val="nil"/>
            </w:tcBorders>
            <w:noWrap w:val="0"/>
            <w:vAlign w:val="center"/>
          </w:tcPr>
          <w:p w14:paraId="6C5CC6E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1837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768" w:type="dxa"/>
            <w:vMerge w:val="continue"/>
            <w:tcBorders>
              <w:left w:val="nil"/>
            </w:tcBorders>
            <w:noWrap w:val="0"/>
            <w:vAlign w:val="center"/>
          </w:tcPr>
          <w:p w14:paraId="031BC6A2">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vMerge w:val="continue"/>
            <w:noWrap w:val="0"/>
            <w:vAlign w:val="center"/>
          </w:tcPr>
          <w:p w14:paraId="5BDEA11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2875" w:type="dxa"/>
            <w:noWrap w:val="0"/>
            <w:vAlign w:val="center"/>
          </w:tcPr>
          <w:p w14:paraId="15AECCAD">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镇级规划</w:t>
            </w:r>
          </w:p>
        </w:tc>
        <w:tc>
          <w:tcPr>
            <w:tcW w:w="1878" w:type="dxa"/>
            <w:noWrap w:val="0"/>
            <w:vAlign w:val="center"/>
          </w:tcPr>
          <w:p w14:paraId="4A943472">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5个</w:t>
            </w:r>
          </w:p>
        </w:tc>
        <w:tc>
          <w:tcPr>
            <w:tcW w:w="1704" w:type="dxa"/>
            <w:noWrap w:val="0"/>
            <w:vAlign w:val="center"/>
          </w:tcPr>
          <w:p w14:paraId="0E11ABF5">
            <w:pPr>
              <w:keepNext w:val="0"/>
              <w:keepLines w:val="0"/>
              <w:pageBreakBefore w:val="0"/>
              <w:kinsoku/>
              <w:wordWrap/>
              <w:overflowPunct/>
              <w:topLinePunct w:val="0"/>
              <w:autoSpaceDE/>
              <w:autoSpaceDN/>
              <w:bidi w:val="0"/>
              <w:adjustRightInd/>
              <w:snapToGrid/>
              <w:spacing w:line="240" w:lineRule="exact"/>
              <w:ind w:left="-108" w:leftChars="-50" w:right="-108"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5个</w:t>
            </w:r>
          </w:p>
        </w:tc>
        <w:tc>
          <w:tcPr>
            <w:tcW w:w="663" w:type="dxa"/>
            <w:tcBorders>
              <w:right w:val="nil"/>
            </w:tcBorders>
            <w:noWrap w:val="0"/>
            <w:vAlign w:val="center"/>
          </w:tcPr>
          <w:p w14:paraId="7698F70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Arial" w:hAnsi="Arial" w:eastAsia="仿宋_GB2312" w:cs="Arial"/>
                <w:b/>
                <w:bCs/>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67E5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0" w:hRule="atLeast"/>
          <w:jc w:val="center"/>
        </w:trPr>
        <w:tc>
          <w:tcPr>
            <w:tcW w:w="768" w:type="dxa"/>
            <w:vMerge w:val="continue"/>
            <w:tcBorders>
              <w:left w:val="nil"/>
            </w:tcBorders>
            <w:noWrap w:val="0"/>
            <w:vAlign w:val="center"/>
          </w:tcPr>
          <w:p w14:paraId="09890889">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noWrap w:val="0"/>
            <w:vAlign w:val="center"/>
          </w:tcPr>
          <w:p w14:paraId="05CE82D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质量指标</w:t>
            </w:r>
          </w:p>
        </w:tc>
        <w:tc>
          <w:tcPr>
            <w:tcW w:w="2875" w:type="dxa"/>
            <w:noWrap w:val="0"/>
            <w:vAlign w:val="center"/>
          </w:tcPr>
          <w:p w14:paraId="720F9247">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符合《陕西省实用性村庄规划编制技术要点》</w:t>
            </w:r>
          </w:p>
        </w:tc>
        <w:tc>
          <w:tcPr>
            <w:tcW w:w="1878" w:type="dxa"/>
            <w:noWrap w:val="0"/>
            <w:vAlign w:val="center"/>
          </w:tcPr>
          <w:p w14:paraId="1B86E15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符合</w:t>
            </w:r>
          </w:p>
        </w:tc>
        <w:tc>
          <w:tcPr>
            <w:tcW w:w="1704" w:type="dxa"/>
            <w:noWrap w:val="0"/>
            <w:vAlign w:val="center"/>
          </w:tcPr>
          <w:p w14:paraId="5CF033EE">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符合</w:t>
            </w:r>
          </w:p>
        </w:tc>
        <w:tc>
          <w:tcPr>
            <w:tcW w:w="663" w:type="dxa"/>
            <w:tcBorders>
              <w:right w:val="nil"/>
            </w:tcBorders>
            <w:noWrap w:val="0"/>
            <w:vAlign w:val="center"/>
          </w:tcPr>
          <w:p w14:paraId="4DFBBE3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67500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5" w:hRule="atLeast"/>
          <w:jc w:val="center"/>
        </w:trPr>
        <w:tc>
          <w:tcPr>
            <w:tcW w:w="768" w:type="dxa"/>
            <w:vMerge w:val="continue"/>
            <w:tcBorders>
              <w:left w:val="nil"/>
            </w:tcBorders>
            <w:noWrap w:val="0"/>
            <w:vAlign w:val="center"/>
          </w:tcPr>
          <w:p w14:paraId="6F01793D">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noWrap w:val="0"/>
            <w:vAlign w:val="center"/>
          </w:tcPr>
          <w:p w14:paraId="09416559">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时效指标</w:t>
            </w:r>
          </w:p>
        </w:tc>
        <w:tc>
          <w:tcPr>
            <w:tcW w:w="2875" w:type="dxa"/>
            <w:noWrap w:val="0"/>
            <w:vAlign w:val="center"/>
          </w:tcPr>
          <w:p w14:paraId="46C9676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完成时间</w:t>
            </w:r>
          </w:p>
        </w:tc>
        <w:tc>
          <w:tcPr>
            <w:tcW w:w="1878" w:type="dxa"/>
            <w:noWrap w:val="0"/>
            <w:vAlign w:val="center"/>
          </w:tcPr>
          <w:p w14:paraId="6D54BACE">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2024年</w:t>
            </w:r>
          </w:p>
        </w:tc>
        <w:tc>
          <w:tcPr>
            <w:tcW w:w="1704" w:type="dxa"/>
            <w:noWrap w:val="0"/>
            <w:vAlign w:val="center"/>
          </w:tcPr>
          <w:p w14:paraId="41E2493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2025年</w:t>
            </w:r>
          </w:p>
        </w:tc>
        <w:tc>
          <w:tcPr>
            <w:tcW w:w="663" w:type="dxa"/>
            <w:tcBorders>
              <w:right w:val="nil"/>
            </w:tcBorders>
            <w:noWrap w:val="0"/>
            <w:vAlign w:val="center"/>
          </w:tcPr>
          <w:p w14:paraId="46B03B06">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7563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1" w:hRule="atLeast"/>
          <w:jc w:val="center"/>
        </w:trPr>
        <w:tc>
          <w:tcPr>
            <w:tcW w:w="768" w:type="dxa"/>
            <w:vMerge w:val="restart"/>
            <w:tcBorders>
              <w:left w:val="nil"/>
            </w:tcBorders>
            <w:noWrap w:val="0"/>
            <w:vAlign w:val="center"/>
          </w:tcPr>
          <w:p w14:paraId="364BD4E7">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效益指标</w:t>
            </w:r>
          </w:p>
        </w:tc>
        <w:tc>
          <w:tcPr>
            <w:tcW w:w="1088" w:type="dxa"/>
            <w:noWrap w:val="0"/>
            <w:vAlign w:val="center"/>
          </w:tcPr>
          <w:p w14:paraId="37D4A15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经济效益指标</w:t>
            </w:r>
          </w:p>
        </w:tc>
        <w:tc>
          <w:tcPr>
            <w:tcW w:w="2875" w:type="dxa"/>
            <w:tcBorders>
              <w:top w:val="single" w:color="000000" w:sz="4" w:space="0"/>
              <w:bottom w:val="single" w:color="000000" w:sz="4" w:space="0"/>
            </w:tcBorders>
            <w:noWrap w:val="0"/>
            <w:vAlign w:val="center"/>
          </w:tcPr>
          <w:p w14:paraId="4E6550C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促进区域经济发展作用情况</w:t>
            </w:r>
          </w:p>
        </w:tc>
        <w:tc>
          <w:tcPr>
            <w:tcW w:w="1878" w:type="dxa"/>
            <w:noWrap w:val="0"/>
            <w:vAlign w:val="center"/>
          </w:tcPr>
          <w:p w14:paraId="56B9E76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有所促进</w:t>
            </w:r>
          </w:p>
        </w:tc>
        <w:tc>
          <w:tcPr>
            <w:tcW w:w="1704" w:type="dxa"/>
            <w:noWrap w:val="0"/>
            <w:vAlign w:val="center"/>
          </w:tcPr>
          <w:p w14:paraId="0EA488E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有所促进</w:t>
            </w:r>
          </w:p>
        </w:tc>
        <w:tc>
          <w:tcPr>
            <w:tcW w:w="663" w:type="dxa"/>
            <w:tcBorders>
              <w:right w:val="nil"/>
            </w:tcBorders>
            <w:noWrap w:val="0"/>
            <w:vAlign w:val="center"/>
          </w:tcPr>
          <w:p w14:paraId="4496A5A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green"/>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0890A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0" w:hRule="atLeast"/>
          <w:jc w:val="center"/>
        </w:trPr>
        <w:tc>
          <w:tcPr>
            <w:tcW w:w="768" w:type="dxa"/>
            <w:vMerge w:val="continue"/>
            <w:tcBorders>
              <w:left w:val="nil"/>
            </w:tcBorders>
            <w:noWrap w:val="0"/>
            <w:vAlign w:val="center"/>
          </w:tcPr>
          <w:p w14:paraId="6AC44443">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vMerge w:val="restart"/>
            <w:noWrap w:val="0"/>
            <w:vAlign w:val="center"/>
          </w:tcPr>
          <w:p w14:paraId="7D13E0B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社会效益指标</w:t>
            </w:r>
          </w:p>
        </w:tc>
        <w:tc>
          <w:tcPr>
            <w:tcW w:w="2875" w:type="dxa"/>
            <w:tcBorders>
              <w:top w:val="single" w:color="000000" w:sz="4" w:space="0"/>
              <w:bottom w:val="single" w:color="000000" w:sz="4" w:space="0"/>
            </w:tcBorders>
            <w:noWrap w:val="0"/>
            <w:vAlign w:val="center"/>
          </w:tcPr>
          <w:p w14:paraId="0CF2A6E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提升人居环境水平</w:t>
            </w:r>
          </w:p>
        </w:tc>
        <w:tc>
          <w:tcPr>
            <w:tcW w:w="1878" w:type="dxa"/>
            <w:noWrap w:val="0"/>
            <w:vAlign w:val="center"/>
          </w:tcPr>
          <w:p w14:paraId="4B95BCBF">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有所提升</w:t>
            </w:r>
          </w:p>
        </w:tc>
        <w:tc>
          <w:tcPr>
            <w:tcW w:w="1704" w:type="dxa"/>
            <w:noWrap w:val="0"/>
            <w:vAlign w:val="center"/>
          </w:tcPr>
          <w:p w14:paraId="5DE16B9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有所提升</w:t>
            </w:r>
          </w:p>
        </w:tc>
        <w:tc>
          <w:tcPr>
            <w:tcW w:w="663" w:type="dxa"/>
            <w:tcBorders>
              <w:right w:val="nil"/>
            </w:tcBorders>
            <w:noWrap w:val="0"/>
            <w:vAlign w:val="center"/>
          </w:tcPr>
          <w:p w14:paraId="641D511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green"/>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1A1B6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0" w:hRule="atLeast"/>
          <w:jc w:val="center"/>
        </w:trPr>
        <w:tc>
          <w:tcPr>
            <w:tcW w:w="768" w:type="dxa"/>
            <w:vMerge w:val="continue"/>
            <w:tcBorders>
              <w:left w:val="nil"/>
            </w:tcBorders>
            <w:noWrap w:val="0"/>
            <w:vAlign w:val="center"/>
          </w:tcPr>
          <w:p w14:paraId="31599D23">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vMerge w:val="continue"/>
            <w:noWrap w:val="0"/>
            <w:vAlign w:val="center"/>
          </w:tcPr>
          <w:p w14:paraId="030FB9F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2875" w:type="dxa"/>
            <w:tcBorders>
              <w:top w:val="single" w:color="000000" w:sz="4" w:space="0"/>
              <w:bottom w:val="single" w:color="000000" w:sz="4" w:space="0"/>
            </w:tcBorders>
            <w:shd w:val="clear" w:color="auto" w:fill="auto"/>
            <w:noWrap w:val="0"/>
            <w:vAlign w:val="center"/>
          </w:tcPr>
          <w:p w14:paraId="0DF088E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优化村庄布局</w:t>
            </w:r>
          </w:p>
        </w:tc>
        <w:tc>
          <w:tcPr>
            <w:tcW w:w="1878" w:type="dxa"/>
            <w:shd w:val="clear" w:color="auto" w:fill="auto"/>
            <w:noWrap w:val="0"/>
            <w:vAlign w:val="center"/>
          </w:tcPr>
          <w:p w14:paraId="39B3FBB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明显优化</w:t>
            </w:r>
          </w:p>
        </w:tc>
        <w:tc>
          <w:tcPr>
            <w:tcW w:w="1704" w:type="dxa"/>
            <w:shd w:val="clear" w:color="auto" w:fill="auto"/>
            <w:noWrap w:val="0"/>
            <w:vAlign w:val="center"/>
          </w:tcPr>
          <w:p w14:paraId="568623E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明显优化</w:t>
            </w:r>
          </w:p>
        </w:tc>
        <w:tc>
          <w:tcPr>
            <w:tcW w:w="663" w:type="dxa"/>
            <w:tcBorders>
              <w:right w:val="nil"/>
            </w:tcBorders>
            <w:noWrap w:val="0"/>
            <w:vAlign w:val="center"/>
          </w:tcPr>
          <w:p w14:paraId="77DDDB42">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4C7D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6" w:hRule="atLeast"/>
          <w:jc w:val="center"/>
        </w:trPr>
        <w:tc>
          <w:tcPr>
            <w:tcW w:w="768" w:type="dxa"/>
            <w:vMerge w:val="continue"/>
            <w:tcBorders>
              <w:left w:val="nil"/>
            </w:tcBorders>
            <w:noWrap w:val="0"/>
            <w:vAlign w:val="center"/>
          </w:tcPr>
          <w:p w14:paraId="2F94C584">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vMerge w:val="continue"/>
            <w:noWrap w:val="0"/>
            <w:vAlign w:val="center"/>
          </w:tcPr>
          <w:p w14:paraId="4AD279F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2875" w:type="dxa"/>
            <w:tcBorders>
              <w:top w:val="single" w:color="000000" w:sz="4" w:space="0"/>
              <w:bottom w:val="single" w:color="000000" w:sz="4" w:space="0"/>
            </w:tcBorders>
            <w:shd w:val="clear" w:color="auto" w:fill="auto"/>
            <w:noWrap w:val="0"/>
            <w:vAlign w:val="center"/>
          </w:tcPr>
          <w:p w14:paraId="0767704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促进宜居宜业和美乡村建设作用情况</w:t>
            </w:r>
          </w:p>
        </w:tc>
        <w:tc>
          <w:tcPr>
            <w:tcW w:w="1878" w:type="dxa"/>
            <w:noWrap w:val="0"/>
            <w:vAlign w:val="center"/>
          </w:tcPr>
          <w:p w14:paraId="072C2E27">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有所促进</w:t>
            </w:r>
          </w:p>
        </w:tc>
        <w:tc>
          <w:tcPr>
            <w:tcW w:w="1704" w:type="dxa"/>
            <w:noWrap w:val="0"/>
            <w:vAlign w:val="center"/>
          </w:tcPr>
          <w:p w14:paraId="58E94469">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有所促进</w:t>
            </w:r>
          </w:p>
        </w:tc>
        <w:tc>
          <w:tcPr>
            <w:tcW w:w="663" w:type="dxa"/>
            <w:tcBorders>
              <w:right w:val="nil"/>
            </w:tcBorders>
            <w:noWrap w:val="0"/>
            <w:vAlign w:val="center"/>
          </w:tcPr>
          <w:p w14:paraId="1B5112A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30E10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6" w:hRule="atLeast"/>
          <w:jc w:val="center"/>
        </w:trPr>
        <w:tc>
          <w:tcPr>
            <w:tcW w:w="768" w:type="dxa"/>
            <w:vMerge w:val="continue"/>
            <w:tcBorders>
              <w:left w:val="nil"/>
            </w:tcBorders>
            <w:noWrap w:val="0"/>
            <w:vAlign w:val="center"/>
          </w:tcPr>
          <w:p w14:paraId="7547FBE6">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noWrap w:val="0"/>
            <w:vAlign w:val="center"/>
          </w:tcPr>
          <w:p w14:paraId="66E906F1">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生态效益指标</w:t>
            </w:r>
          </w:p>
        </w:tc>
        <w:tc>
          <w:tcPr>
            <w:tcW w:w="2875" w:type="dxa"/>
            <w:tcBorders>
              <w:top w:val="single" w:color="000000" w:sz="4" w:space="0"/>
              <w:bottom w:val="single" w:color="000000" w:sz="4" w:space="0"/>
            </w:tcBorders>
            <w:shd w:val="clear" w:color="auto" w:fill="auto"/>
            <w:noWrap w:val="0"/>
            <w:vAlign w:val="center"/>
          </w:tcPr>
          <w:p w14:paraId="61B7F6DE">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生态效益情况</w:t>
            </w:r>
          </w:p>
        </w:tc>
        <w:tc>
          <w:tcPr>
            <w:tcW w:w="1878" w:type="dxa"/>
            <w:noWrap w:val="0"/>
            <w:vAlign w:val="center"/>
          </w:tcPr>
          <w:p w14:paraId="1B3B8390">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较好</w:t>
            </w:r>
          </w:p>
        </w:tc>
        <w:tc>
          <w:tcPr>
            <w:tcW w:w="1704" w:type="dxa"/>
            <w:noWrap w:val="0"/>
            <w:vAlign w:val="center"/>
          </w:tcPr>
          <w:p w14:paraId="557C854B">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较好</w:t>
            </w:r>
          </w:p>
        </w:tc>
        <w:tc>
          <w:tcPr>
            <w:tcW w:w="663" w:type="dxa"/>
            <w:tcBorders>
              <w:right w:val="nil"/>
            </w:tcBorders>
            <w:noWrap w:val="0"/>
            <w:vAlign w:val="center"/>
          </w:tcPr>
          <w:p w14:paraId="0089E2D8">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1B37C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6" w:hRule="atLeast"/>
          <w:jc w:val="center"/>
        </w:trPr>
        <w:tc>
          <w:tcPr>
            <w:tcW w:w="768" w:type="dxa"/>
            <w:vMerge w:val="continue"/>
            <w:tcBorders>
              <w:left w:val="nil"/>
            </w:tcBorders>
            <w:noWrap w:val="0"/>
            <w:vAlign w:val="center"/>
          </w:tcPr>
          <w:p w14:paraId="2670B3BC">
            <w:pPr>
              <w:pStyle w:val="11"/>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088" w:type="dxa"/>
            <w:noWrap w:val="0"/>
            <w:vAlign w:val="center"/>
          </w:tcPr>
          <w:p w14:paraId="3957FCE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可持续影响指标</w:t>
            </w:r>
          </w:p>
        </w:tc>
        <w:tc>
          <w:tcPr>
            <w:tcW w:w="2875" w:type="dxa"/>
            <w:tcBorders>
              <w:top w:val="single" w:color="000000" w:sz="4" w:space="0"/>
              <w:bottom w:val="single" w:color="000000" w:sz="4" w:space="0"/>
            </w:tcBorders>
            <w:noWrap w:val="0"/>
            <w:vAlign w:val="center"/>
          </w:tcPr>
          <w:p w14:paraId="57915536">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引导村庄高效集约发展</w:t>
            </w:r>
          </w:p>
        </w:tc>
        <w:tc>
          <w:tcPr>
            <w:tcW w:w="1878" w:type="dxa"/>
            <w:noWrap w:val="0"/>
            <w:vAlign w:val="center"/>
          </w:tcPr>
          <w:p w14:paraId="408ED28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704" w:type="dxa"/>
            <w:noWrap w:val="0"/>
            <w:vAlign w:val="center"/>
          </w:tcPr>
          <w:p w14:paraId="2CABB42C">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663" w:type="dxa"/>
            <w:tcBorders>
              <w:right w:val="nil"/>
            </w:tcBorders>
            <w:noWrap w:val="0"/>
            <w:vAlign w:val="center"/>
          </w:tcPr>
          <w:p w14:paraId="56B4494E">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r w14:paraId="56229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9" w:hRule="atLeast"/>
          <w:jc w:val="center"/>
        </w:trPr>
        <w:tc>
          <w:tcPr>
            <w:tcW w:w="768" w:type="dxa"/>
            <w:tcBorders>
              <w:left w:val="nil"/>
            </w:tcBorders>
            <w:noWrap w:val="0"/>
            <w:vAlign w:val="center"/>
          </w:tcPr>
          <w:p w14:paraId="70DDF2D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满意度指标</w:t>
            </w:r>
          </w:p>
        </w:tc>
        <w:tc>
          <w:tcPr>
            <w:tcW w:w="1088" w:type="dxa"/>
            <w:noWrap w:val="0"/>
            <w:vAlign w:val="center"/>
          </w:tcPr>
          <w:p w14:paraId="25D73C34">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服务对象满意度指标</w:t>
            </w:r>
          </w:p>
        </w:tc>
        <w:tc>
          <w:tcPr>
            <w:tcW w:w="2875" w:type="dxa"/>
            <w:tcBorders>
              <w:top w:val="single" w:color="000000" w:sz="4" w:space="0"/>
            </w:tcBorders>
            <w:noWrap w:val="0"/>
            <w:vAlign w:val="center"/>
          </w:tcPr>
          <w:p w14:paraId="4A6A00E3">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服务对象（项目受益人）认可程度</w:t>
            </w:r>
          </w:p>
        </w:tc>
        <w:tc>
          <w:tcPr>
            <w:tcW w:w="1878" w:type="dxa"/>
            <w:noWrap w:val="0"/>
            <w:vAlign w:val="center"/>
          </w:tcPr>
          <w:p w14:paraId="36D464CA">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≥90%</w:t>
            </w:r>
          </w:p>
        </w:tc>
        <w:tc>
          <w:tcPr>
            <w:tcW w:w="1704" w:type="dxa"/>
            <w:noWrap w:val="0"/>
            <w:vAlign w:val="center"/>
          </w:tcPr>
          <w:p w14:paraId="501380B0">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90.82%</w:t>
            </w:r>
          </w:p>
        </w:tc>
        <w:tc>
          <w:tcPr>
            <w:tcW w:w="663" w:type="dxa"/>
            <w:tcBorders>
              <w:right w:val="nil"/>
            </w:tcBorders>
            <w:noWrap w:val="0"/>
            <w:vAlign w:val="center"/>
          </w:tcPr>
          <w:p w14:paraId="5AD2FA18">
            <w:pPr>
              <w:pStyle w:val="11"/>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w:t>
            </w:r>
          </w:p>
        </w:tc>
      </w:tr>
    </w:tbl>
    <w:p w14:paraId="01462AEE">
      <w:pPr>
        <w:keepNext w:val="0"/>
        <w:keepLines w:val="0"/>
        <w:pageBreakBefore w:val="0"/>
        <w:widowControl w:val="0"/>
        <w:kinsoku/>
        <w:wordWrap/>
        <w:overflowPunct/>
        <w:topLinePunct w:val="0"/>
        <w:autoSpaceDE/>
        <w:autoSpaceDN/>
        <w:bidi w:val="0"/>
        <w:adjustRightInd/>
        <w:snapToGrid/>
        <w:spacing w:line="560" w:lineRule="exact"/>
        <w:ind w:left="0" w:leftChars="0" w:firstLine="572" w:firstLineChars="200"/>
        <w:textAlignment w:val="auto"/>
        <w:rPr>
          <w:rFonts w:hint="eastAsia" w:ascii="楷体" w:hAnsi="楷体" w:eastAsia="楷体" w:cs="楷体"/>
          <w:w w:val="90"/>
          <w:kern w:val="2"/>
          <w:sz w:val="21"/>
          <w:szCs w:val="21"/>
          <w:vertAlign w:val="baseline"/>
          <w:lang w:val="en-US" w:eastAsia="zh-CN" w:bidi="ar-SA"/>
        </w:rPr>
      </w:pPr>
      <w:r>
        <w:rPr>
          <w:rFonts w:hint="eastAsia" w:ascii="楷体" w:hAnsi="楷体" w:eastAsia="楷体" w:cs="楷体"/>
          <w:color w:val="auto"/>
          <w:kern w:val="2"/>
          <w:sz w:val="28"/>
          <w:szCs w:val="28"/>
          <w:highlight w:val="none"/>
          <w:lang w:val="en-US" w:eastAsia="zh-CN" w:bidi="ar-SA"/>
        </w:rPr>
        <w:t>注：此</w:t>
      </w:r>
      <w:r>
        <w:rPr>
          <w:rFonts w:hint="eastAsia" w:ascii="楷体" w:hAnsi="楷体" w:eastAsia="楷体" w:cs="楷体"/>
          <w:color w:val="auto"/>
          <w:sz w:val="28"/>
          <w:szCs w:val="28"/>
          <w:highlight w:val="none"/>
          <w:lang w:val="en-US" w:eastAsia="zh-CN"/>
        </w:rPr>
        <w:t>表中部分指标是评价组根据项目单位提供有关资料、评价组收集到的相关资料以及本次评价检查情况而调整的绩效目标及其完成值。</w:t>
      </w:r>
    </w:p>
    <w:p w14:paraId="72ED6A4B">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lang w:val="en-US" w:eastAsia="zh-CN"/>
        </w:rPr>
        <w:t xml:space="preserve"> </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、绩效评价工作开展情况</w:t>
      </w:r>
    </w:p>
    <w:p w14:paraId="18318D0B">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楷体" w:hAnsi="楷体" w:eastAsia="楷体" w:cs="楷体"/>
          <w:b/>
          <w:bCs/>
          <w:color w:val="auto"/>
          <w:sz w:val="32"/>
          <w:szCs w:val="32"/>
          <w:highlight w:val="none"/>
          <w:lang w:val="zh-CN"/>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auto"/>
          <w:sz w:val="32"/>
          <w:szCs w:val="32"/>
          <w:highlight w:val="none"/>
          <w:lang w:val="zh-CN"/>
        </w:rPr>
        <w:t>评价依据</w:t>
      </w:r>
    </w:p>
    <w:p w14:paraId="29C06B96">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1.中央</w:t>
      </w:r>
      <w:bookmarkStart w:id="3" w:name="_GoBack"/>
      <w:bookmarkEnd w:id="3"/>
      <w:r>
        <w:rPr>
          <w:rFonts w:hint="eastAsia" w:ascii="仿宋_GB2312" w:hAnsi="仿宋_GB2312" w:eastAsia="仿宋_GB2312" w:cs="仿宋_GB2312"/>
          <w:color w:val="auto"/>
          <w:kern w:val="2"/>
          <w:sz w:val="32"/>
          <w:szCs w:val="32"/>
          <w:highlight w:val="none"/>
          <w:lang w:val="en-US" w:eastAsia="zh-CN" w:bidi="ar-SA"/>
        </w:rPr>
        <w:t>、省、市、县现行相关政策文件；</w:t>
      </w:r>
    </w:p>
    <w:p w14:paraId="2DF6830D">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2.扶风县自然资源局等相关文件；</w:t>
      </w:r>
    </w:p>
    <w:p w14:paraId="3E3E74A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3.项目实施单位提供的相关资料，包括项目申报资料、项目自评报告、绩效目标表、资金到账及资金支出凭证，验收、审计相关资料，项目实施及管理等相关资料；</w:t>
      </w:r>
    </w:p>
    <w:p w14:paraId="60CA2B89">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4.评价工作人员通过现场调查、核实、问卷等获得的资料；</w:t>
      </w:r>
    </w:p>
    <w:p w14:paraId="7F65C560">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5.其他相关资料。</w:t>
      </w:r>
    </w:p>
    <w:p w14:paraId="56163A1C">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楷体" w:hAnsi="楷体" w:eastAsia="楷体" w:cs="楷体"/>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w:t>
      </w:r>
      <w:r>
        <w:rPr>
          <w:rFonts w:hint="eastAsia" w:ascii="楷体" w:hAnsi="楷体" w:eastAsia="楷体" w:cs="楷体"/>
          <w:b/>
          <w:bCs/>
          <w:color w:val="auto"/>
          <w:sz w:val="32"/>
          <w:szCs w:val="32"/>
          <w:highlight w:val="none"/>
          <w:lang w:val="en-US" w:eastAsia="zh-CN"/>
        </w:rPr>
        <w:t>二）评价目的与重点</w:t>
      </w:r>
    </w:p>
    <w:p w14:paraId="0668F168">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1.评价目的</w:t>
      </w:r>
    </w:p>
    <w:p w14:paraId="62E45F1A">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val="en-US" w:eastAsia="zh-CN"/>
        </w:rPr>
        <w:t>运用规范</w:t>
      </w:r>
      <w:r>
        <w:rPr>
          <w:rFonts w:hint="eastAsia" w:ascii="仿宋_GB2312" w:hAnsi="仿宋_GB2312" w:eastAsia="仿宋_GB2312" w:cs="仿宋_GB2312"/>
          <w:color w:val="auto"/>
          <w:kern w:val="2"/>
          <w:sz w:val="32"/>
          <w:szCs w:val="32"/>
          <w:highlight w:val="none"/>
          <w:lang w:val="en-US" w:eastAsia="zh-CN" w:bidi="ar-SA"/>
        </w:rPr>
        <w:t>的绩效指标体系和科学的评价方法，全面、客观反映财政支出项目完成情况和实施效果。同时，及时总结经验，分析存在的问题，采取有效措施改进和加强项目管理，为政府相关决策提供参考依据。</w:t>
      </w:r>
    </w:p>
    <w:p w14:paraId="70F8A856">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2.评价重点</w:t>
      </w:r>
    </w:p>
    <w:p w14:paraId="55EA47E2">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default" w:ascii="仿宋_GB2312" w:hAnsi="仿宋_GB2312" w:eastAsia="仿宋_GB2312" w:cs="仿宋_GB2312"/>
          <w:color w:val="auto"/>
          <w:kern w:val="2"/>
          <w:sz w:val="32"/>
          <w:szCs w:val="32"/>
          <w:highlight w:val="none"/>
          <w:lang w:val="en-US" w:eastAsia="zh-CN" w:bidi="ar-SA"/>
        </w:rPr>
        <w:t>项目目标及任务完成情况：评估项目是否按时、按质、按量完成了预定的目标和任务。</w:t>
      </w:r>
    </w:p>
    <w:p w14:paraId="13AB23A8">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项目质量及</w:t>
      </w:r>
      <w:r>
        <w:rPr>
          <w:rFonts w:hint="eastAsia" w:ascii="仿宋_GB2312" w:hAnsi="仿宋_GB2312" w:eastAsia="仿宋_GB2312" w:cs="仿宋_GB2312"/>
          <w:color w:val="auto"/>
          <w:kern w:val="2"/>
          <w:sz w:val="32"/>
          <w:szCs w:val="32"/>
          <w:highlight w:val="none"/>
          <w:lang w:val="en-US" w:eastAsia="zh-CN" w:bidi="ar-SA"/>
        </w:rPr>
        <w:t>成效</w:t>
      </w:r>
      <w:r>
        <w:rPr>
          <w:rFonts w:hint="default" w:ascii="仿宋_GB2312" w:hAnsi="仿宋_GB2312" w:eastAsia="仿宋_GB2312" w:cs="仿宋_GB2312"/>
          <w:color w:val="auto"/>
          <w:kern w:val="2"/>
          <w:sz w:val="32"/>
          <w:szCs w:val="32"/>
          <w:highlight w:val="none"/>
          <w:lang w:val="en-US" w:eastAsia="zh-CN" w:bidi="ar-SA"/>
        </w:rPr>
        <w:t>：考察项目的产出质量和</w:t>
      </w:r>
      <w:r>
        <w:rPr>
          <w:rFonts w:hint="eastAsia" w:ascii="仿宋_GB2312" w:hAnsi="仿宋_GB2312" w:eastAsia="仿宋_GB2312" w:cs="仿宋_GB2312"/>
          <w:color w:val="auto"/>
          <w:kern w:val="2"/>
          <w:sz w:val="32"/>
          <w:szCs w:val="32"/>
          <w:highlight w:val="none"/>
          <w:lang w:val="en-US" w:eastAsia="zh-CN" w:bidi="ar-SA"/>
        </w:rPr>
        <w:t>成效情况</w:t>
      </w:r>
      <w:r>
        <w:rPr>
          <w:rFonts w:hint="default" w:ascii="仿宋_GB2312" w:hAnsi="仿宋_GB2312" w:eastAsia="仿宋_GB2312" w:cs="仿宋_GB2312"/>
          <w:color w:val="auto"/>
          <w:kern w:val="2"/>
          <w:sz w:val="32"/>
          <w:szCs w:val="32"/>
          <w:highlight w:val="none"/>
          <w:lang w:val="en-US" w:eastAsia="zh-CN" w:bidi="ar-SA"/>
        </w:rPr>
        <w:t>。</w:t>
      </w:r>
    </w:p>
    <w:p w14:paraId="431322E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项目管理效能：评价项目的组织管理、财务管理、</w:t>
      </w:r>
      <w:r>
        <w:rPr>
          <w:rFonts w:hint="eastAsia" w:ascii="仿宋_GB2312" w:hAnsi="仿宋_GB2312" w:eastAsia="仿宋_GB2312" w:cs="仿宋_GB2312"/>
          <w:color w:val="auto"/>
          <w:kern w:val="2"/>
          <w:sz w:val="32"/>
          <w:szCs w:val="32"/>
          <w:highlight w:val="none"/>
          <w:lang w:val="en-US" w:eastAsia="zh-CN" w:bidi="ar-SA"/>
        </w:rPr>
        <w:t>长效</w:t>
      </w:r>
      <w:r>
        <w:rPr>
          <w:rFonts w:hint="default" w:ascii="仿宋_GB2312" w:hAnsi="仿宋_GB2312" w:eastAsia="仿宋_GB2312" w:cs="仿宋_GB2312"/>
          <w:color w:val="auto"/>
          <w:kern w:val="2"/>
          <w:sz w:val="32"/>
          <w:szCs w:val="32"/>
          <w:highlight w:val="none"/>
          <w:lang w:val="en-US" w:eastAsia="zh-CN" w:bidi="ar-SA"/>
        </w:rPr>
        <w:t>管理等方面的效率和效果。</w:t>
      </w:r>
    </w:p>
    <w:p w14:paraId="720FF69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eastAsia" w:ascii="楷体" w:hAnsi="楷体" w:eastAsia="楷体" w:cs="楷体"/>
          <w:b/>
          <w:bCs/>
          <w:color w:val="auto"/>
          <w:sz w:val="32"/>
          <w:szCs w:val="32"/>
          <w:highlight w:val="green"/>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项目的经济效益及社会效益：分析项目对经济发展的贡献以及对社会的正面影响。</w:t>
      </w:r>
    </w:p>
    <w:p w14:paraId="54CE26E1">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sz w:val="24"/>
          <w:szCs w:val="24"/>
        </w:rPr>
      </w:pP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000000"/>
          <w:kern w:val="0"/>
          <w:sz w:val="31"/>
          <w:szCs w:val="31"/>
          <w:lang w:val="en-US" w:eastAsia="zh-CN" w:bidi="ar"/>
        </w:rPr>
        <w:t>绩效评价指标与方法</w:t>
      </w:r>
      <w:r>
        <w:rPr>
          <w:rFonts w:hint="eastAsia" w:ascii="仿宋_GB2312" w:hAnsi="宋体" w:eastAsia="仿宋_GB2312" w:cs="仿宋_GB2312"/>
          <w:color w:val="000000"/>
          <w:kern w:val="0"/>
          <w:sz w:val="24"/>
          <w:szCs w:val="24"/>
          <w:lang w:val="en-US" w:eastAsia="zh-CN" w:bidi="ar"/>
        </w:rPr>
        <w:t xml:space="preserve"> </w:t>
      </w:r>
    </w:p>
    <w:p w14:paraId="67D842C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78" w:firstLineChars="3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1.评价原则</w:t>
      </w:r>
    </w:p>
    <w:p w14:paraId="2FC452AA">
      <w:pPr>
        <w:spacing w:line="560" w:lineRule="exact"/>
        <w:ind w:firstLine="652"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按照科学规范、公正公开、分级分类、绩效相关的原则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对项目进行综合评价。</w:t>
      </w:r>
    </w:p>
    <w:p w14:paraId="7C99058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78"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2.评价指标体系</w:t>
      </w:r>
    </w:p>
    <w:p w14:paraId="31DD1A3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78" w:firstLineChars="30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项目评价指标体系详见附件。</w:t>
      </w:r>
    </w:p>
    <w:p w14:paraId="02AEDDB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78"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3.评价方法</w:t>
      </w:r>
    </w:p>
    <w:p w14:paraId="3A71962F">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采用比较、因素分析、公众评判等评价方法，在</w:t>
      </w:r>
      <w:r>
        <w:rPr>
          <w:rFonts w:hint="eastAsia" w:ascii="仿宋_GB2312" w:hAnsi="仿宋_GB2312" w:eastAsia="仿宋_GB2312" w:cs="仿宋_GB2312"/>
          <w:color w:val="auto"/>
          <w:kern w:val="2"/>
          <w:sz w:val="32"/>
          <w:szCs w:val="32"/>
          <w:highlight w:val="none"/>
          <w:lang w:val="zh-CN" w:eastAsia="zh-CN" w:bidi="ar-SA"/>
        </w:rPr>
        <w:t>项目单位自评</w:t>
      </w:r>
      <w:r>
        <w:rPr>
          <w:rFonts w:hint="eastAsia" w:ascii="仿宋_GB2312" w:hAnsi="仿宋_GB2312" w:eastAsia="仿宋_GB2312" w:cs="仿宋_GB2312"/>
          <w:color w:val="auto"/>
          <w:kern w:val="2"/>
          <w:sz w:val="32"/>
          <w:szCs w:val="32"/>
          <w:highlight w:val="none"/>
          <w:lang w:val="en-US" w:eastAsia="zh-CN" w:bidi="ar-SA"/>
        </w:rPr>
        <w:t>的基础上</w:t>
      </w:r>
      <w:r>
        <w:rPr>
          <w:rFonts w:hint="eastAsia" w:ascii="仿宋_GB2312" w:hAnsi="仿宋_GB2312" w:eastAsia="仿宋_GB2312" w:cs="仿宋_GB2312"/>
          <w:color w:val="auto"/>
          <w:kern w:val="2"/>
          <w:sz w:val="32"/>
          <w:szCs w:val="32"/>
          <w:highlight w:val="none"/>
          <w:lang w:val="zh-CN" w:eastAsia="zh-CN" w:bidi="ar-SA"/>
        </w:rPr>
        <w:t>，通过</w:t>
      </w:r>
      <w:r>
        <w:rPr>
          <w:rFonts w:hint="eastAsia" w:ascii="仿宋_GB2312" w:hAnsi="仿宋_GB2312" w:eastAsia="仿宋_GB2312" w:cs="仿宋_GB2312"/>
          <w:color w:val="auto"/>
          <w:kern w:val="2"/>
          <w:sz w:val="32"/>
          <w:szCs w:val="32"/>
          <w:highlight w:val="none"/>
          <w:lang w:val="en-US" w:eastAsia="zh-CN" w:bidi="ar-SA"/>
        </w:rPr>
        <w:t>统计汇总与数据</w:t>
      </w:r>
      <w:r>
        <w:rPr>
          <w:rFonts w:hint="eastAsia" w:ascii="仿宋_GB2312" w:hAnsi="仿宋_GB2312" w:eastAsia="仿宋_GB2312" w:cs="仿宋_GB2312"/>
          <w:color w:val="auto"/>
          <w:kern w:val="2"/>
          <w:sz w:val="32"/>
          <w:szCs w:val="32"/>
          <w:highlight w:val="none"/>
          <w:lang w:val="zh-CN" w:eastAsia="zh-CN" w:bidi="ar-SA"/>
        </w:rPr>
        <w:t>分析、整体评价与现场评价、</w:t>
      </w:r>
      <w:r>
        <w:rPr>
          <w:rFonts w:hint="eastAsia" w:ascii="仿宋_GB2312" w:hAnsi="仿宋_GB2312" w:eastAsia="仿宋_GB2312" w:cs="仿宋_GB2312"/>
          <w:color w:val="auto"/>
          <w:kern w:val="2"/>
          <w:sz w:val="32"/>
          <w:szCs w:val="32"/>
          <w:highlight w:val="none"/>
          <w:lang w:val="en-US" w:eastAsia="zh-CN" w:bidi="ar-SA"/>
        </w:rPr>
        <w:t>走访惠及群众及</w:t>
      </w:r>
      <w:r>
        <w:rPr>
          <w:rFonts w:hint="eastAsia" w:ascii="仿宋_GB2312" w:hAnsi="仿宋_GB2312" w:eastAsia="仿宋_GB2312" w:cs="仿宋_GB2312"/>
          <w:color w:val="auto"/>
          <w:kern w:val="2"/>
          <w:sz w:val="32"/>
          <w:szCs w:val="32"/>
          <w:highlight w:val="none"/>
          <w:lang w:val="zh-CN" w:eastAsia="zh-CN" w:bidi="ar-SA"/>
        </w:rPr>
        <w:t>问卷调查等方式进行</w:t>
      </w:r>
      <w:r>
        <w:rPr>
          <w:rFonts w:hint="eastAsia" w:ascii="仿宋_GB2312" w:hAnsi="仿宋_GB2312" w:eastAsia="仿宋_GB2312" w:cs="仿宋_GB2312"/>
          <w:color w:val="auto"/>
          <w:kern w:val="2"/>
          <w:sz w:val="32"/>
          <w:szCs w:val="32"/>
          <w:highlight w:val="none"/>
          <w:lang w:val="en-US" w:eastAsia="zh-CN" w:bidi="ar-SA"/>
        </w:rPr>
        <w:t>绩效</w:t>
      </w:r>
      <w:r>
        <w:rPr>
          <w:rFonts w:hint="eastAsia" w:ascii="仿宋_GB2312" w:hAnsi="仿宋_GB2312" w:eastAsia="仿宋_GB2312" w:cs="仿宋_GB2312"/>
          <w:color w:val="auto"/>
          <w:kern w:val="2"/>
          <w:sz w:val="32"/>
          <w:szCs w:val="32"/>
          <w:highlight w:val="none"/>
          <w:lang w:val="zh-CN" w:eastAsia="zh-CN" w:bidi="ar-SA"/>
        </w:rPr>
        <w:t>评价，形成</w:t>
      </w:r>
      <w:r>
        <w:rPr>
          <w:rFonts w:hint="eastAsia" w:ascii="仿宋_GB2312" w:hAnsi="仿宋_GB2312" w:eastAsia="仿宋_GB2312" w:cs="仿宋_GB2312"/>
          <w:color w:val="auto"/>
          <w:kern w:val="2"/>
          <w:sz w:val="32"/>
          <w:szCs w:val="32"/>
          <w:highlight w:val="none"/>
          <w:lang w:val="en-US" w:eastAsia="zh-CN" w:bidi="ar-SA"/>
        </w:rPr>
        <w:t>评价结论，</w:t>
      </w:r>
      <w:r>
        <w:rPr>
          <w:rFonts w:hint="eastAsia" w:ascii="仿宋_GB2312" w:hAnsi="仿宋_GB2312" w:eastAsia="仿宋_GB2312" w:cs="仿宋_GB2312"/>
          <w:color w:val="auto"/>
          <w:kern w:val="2"/>
          <w:sz w:val="32"/>
          <w:szCs w:val="32"/>
          <w:highlight w:val="none"/>
          <w:lang w:val="zh-CN" w:eastAsia="zh-CN" w:bidi="ar-SA"/>
        </w:rPr>
        <w:t>撰写</w:t>
      </w:r>
      <w:r>
        <w:rPr>
          <w:rFonts w:hint="eastAsia" w:ascii="仿宋_GB2312" w:hAnsi="仿宋_GB2312" w:eastAsia="仿宋_GB2312" w:cs="仿宋_GB2312"/>
          <w:color w:val="auto"/>
          <w:kern w:val="2"/>
          <w:sz w:val="32"/>
          <w:szCs w:val="32"/>
          <w:highlight w:val="none"/>
          <w:lang w:val="en-US" w:eastAsia="zh-CN" w:bidi="ar-SA"/>
        </w:rPr>
        <w:t>评价</w:t>
      </w:r>
      <w:r>
        <w:rPr>
          <w:rFonts w:hint="eastAsia" w:ascii="仿宋_GB2312" w:hAnsi="仿宋_GB2312" w:eastAsia="仿宋_GB2312" w:cs="仿宋_GB2312"/>
          <w:color w:val="auto"/>
          <w:kern w:val="2"/>
          <w:sz w:val="32"/>
          <w:szCs w:val="32"/>
          <w:highlight w:val="none"/>
          <w:lang w:val="zh-CN" w:eastAsia="zh-CN" w:bidi="ar-SA"/>
        </w:rPr>
        <w:t>报告</w:t>
      </w:r>
      <w:r>
        <w:rPr>
          <w:rFonts w:hint="eastAsia" w:ascii="仿宋_GB2312" w:hAnsi="仿宋_GB2312" w:eastAsia="仿宋_GB2312" w:cs="仿宋_GB2312"/>
          <w:color w:val="auto"/>
          <w:kern w:val="2"/>
          <w:sz w:val="32"/>
          <w:szCs w:val="32"/>
          <w:highlight w:val="none"/>
          <w:lang w:val="en-US" w:eastAsia="zh-CN" w:bidi="ar-SA"/>
        </w:rPr>
        <w:t>。</w:t>
      </w:r>
    </w:p>
    <w:p w14:paraId="39E006C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78"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4.评价标准</w:t>
      </w:r>
    </w:p>
    <w:p w14:paraId="155DDAE1">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 xml:space="preserve"> 2024年扶风县“多规合一”实用性村庄规划编制项目绩效评价采</w:t>
      </w:r>
      <w:r>
        <w:rPr>
          <w:rFonts w:hint="eastAsia" w:ascii="仿宋_GB2312" w:hAnsi="仿宋_GB2312" w:eastAsia="仿宋_GB2312" w:cs="仿宋_GB2312"/>
          <w:color w:val="auto"/>
          <w:sz w:val="32"/>
          <w:szCs w:val="32"/>
          <w:highlight w:val="none"/>
        </w:rPr>
        <w:t>用百分制得分。评价指标共设置</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个一级指标、</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个二级指标、</w:t>
      </w:r>
      <w:r>
        <w:rPr>
          <w:rFonts w:hint="eastAsia" w:ascii="仿宋_GB2312" w:hAnsi="仿宋_GB2312" w:eastAsia="仿宋_GB2312" w:cs="仿宋_GB2312"/>
          <w:color w:val="auto"/>
          <w:sz w:val="32"/>
          <w:szCs w:val="32"/>
          <w:highlight w:val="none"/>
          <w:lang w:val="en-US" w:eastAsia="zh-CN"/>
        </w:rPr>
        <w:t>26</w:t>
      </w:r>
      <w:r>
        <w:rPr>
          <w:rFonts w:hint="eastAsia" w:ascii="仿宋_GB2312" w:hAnsi="仿宋_GB2312" w:eastAsia="仿宋_GB2312" w:cs="仿宋_GB2312"/>
          <w:color w:val="auto"/>
          <w:sz w:val="32"/>
          <w:szCs w:val="32"/>
          <w:highlight w:val="none"/>
        </w:rPr>
        <w:t>个三级指标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评价结果分为优、良、</w:t>
      </w:r>
      <w:r>
        <w:rPr>
          <w:rFonts w:hint="eastAsia" w:ascii="仿宋_GB2312" w:hAnsi="仿宋_GB2312" w:eastAsia="仿宋_GB2312" w:cs="仿宋_GB2312"/>
          <w:color w:val="auto"/>
          <w:sz w:val="32"/>
          <w:szCs w:val="32"/>
          <w:highlight w:val="none"/>
          <w:lang w:val="en-US" w:eastAsia="zh-CN"/>
        </w:rPr>
        <w:t>中</w:t>
      </w:r>
      <w:r>
        <w:rPr>
          <w:rFonts w:hint="eastAsia" w:ascii="仿宋_GB2312" w:hAnsi="仿宋_GB2312" w:eastAsia="仿宋_GB2312" w:cs="仿宋_GB2312"/>
          <w:color w:val="auto"/>
          <w:sz w:val="32"/>
          <w:szCs w:val="32"/>
          <w:highlight w:val="none"/>
        </w:rPr>
        <w:t>、差4个评价等</w:t>
      </w:r>
      <w:r>
        <w:rPr>
          <w:rFonts w:hint="eastAsia" w:ascii="仿宋_GB2312" w:hAnsi="仿宋_GB2312" w:eastAsia="仿宋_GB2312" w:cs="仿宋_GB2312"/>
          <w:color w:val="auto"/>
          <w:sz w:val="32"/>
          <w:szCs w:val="32"/>
          <w:highlight w:val="none"/>
          <w:lang w:val="en-US" w:eastAsia="zh-CN"/>
        </w:rPr>
        <w:t>级</w:t>
      </w:r>
      <w:r>
        <w:rPr>
          <w:rFonts w:hint="eastAsia" w:ascii="仿宋_GB2312" w:hAnsi="仿宋_GB2312" w:eastAsia="仿宋_GB2312" w:cs="仿宋_GB2312"/>
          <w:color w:val="auto"/>
          <w:sz w:val="32"/>
          <w:szCs w:val="32"/>
          <w:highlight w:val="none"/>
        </w:rPr>
        <w:t>，根据计算结果的分值，确定评价项目最后达到的等</w:t>
      </w:r>
      <w:r>
        <w:rPr>
          <w:rFonts w:hint="eastAsia" w:ascii="仿宋_GB2312" w:hAnsi="仿宋_GB2312" w:eastAsia="仿宋_GB2312" w:cs="仿宋_GB2312"/>
          <w:color w:val="auto"/>
          <w:sz w:val="32"/>
          <w:szCs w:val="32"/>
          <w:highlight w:val="none"/>
          <w:lang w:val="en-US" w:eastAsia="zh-CN"/>
        </w:rPr>
        <w:t>级</w:t>
      </w:r>
      <w:r>
        <w:rPr>
          <w:rFonts w:hint="eastAsia" w:ascii="仿宋_GB2312" w:hAnsi="仿宋_GB2312" w:eastAsia="仿宋_GB2312" w:cs="仿宋_GB2312"/>
          <w:color w:val="auto"/>
          <w:sz w:val="32"/>
          <w:szCs w:val="32"/>
          <w:highlight w:val="none"/>
        </w:rPr>
        <w:t>。具体</w:t>
      </w:r>
      <w:r>
        <w:rPr>
          <w:rFonts w:hint="eastAsia" w:ascii="仿宋_GB2312" w:hAnsi="仿宋_GB2312" w:eastAsia="仿宋_GB2312" w:cs="仿宋_GB2312"/>
          <w:color w:val="auto"/>
          <w:sz w:val="32"/>
          <w:szCs w:val="32"/>
          <w:highlight w:val="none"/>
          <w:lang w:val="en-US" w:eastAsia="zh-CN"/>
        </w:rPr>
        <w:t>见表6。</w:t>
      </w:r>
    </w:p>
    <w:p w14:paraId="5212FE6F">
      <w:pPr>
        <w:pStyle w:val="2"/>
        <w:rPr>
          <w:rFonts w:hint="eastAsia"/>
          <w:lang w:eastAsia="zh-CN"/>
        </w:rPr>
      </w:pPr>
    </w:p>
    <w:p w14:paraId="4863A2FC">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表6   评价结果等级表</w:t>
      </w:r>
    </w:p>
    <w:tbl>
      <w:tblPr>
        <w:tblStyle w:val="17"/>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1264"/>
        <w:gridCol w:w="2028"/>
        <w:gridCol w:w="2262"/>
        <w:gridCol w:w="1363"/>
      </w:tblGrid>
      <w:tr w14:paraId="63BC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2" w:type="dxa"/>
            <w:tcBorders>
              <w:left w:val="nil"/>
            </w:tcBorders>
            <w:shd w:val="clear" w:color="auto" w:fill="D7D7D7"/>
            <w:noWrap w:val="0"/>
            <w:vAlign w:val="center"/>
          </w:tcPr>
          <w:p w14:paraId="18A3DBA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1"/>
                <w:szCs w:val="21"/>
                <w:highlight w:val="none"/>
                <w:lang w:eastAsia="zh-CN"/>
              </w:rPr>
            </w:pPr>
            <w:r>
              <w:rPr>
                <w:rFonts w:hint="eastAsia" w:ascii="仿宋_GB2312" w:hAnsi="仿宋_GB2312" w:eastAsia="仿宋_GB2312" w:cs="仿宋_GB2312"/>
                <w:b/>
                <w:bCs/>
                <w:color w:val="auto"/>
                <w:sz w:val="21"/>
                <w:szCs w:val="21"/>
                <w:highlight w:val="none"/>
              </w:rPr>
              <w:t>评价等</w:t>
            </w:r>
            <w:r>
              <w:rPr>
                <w:rFonts w:hint="eastAsia" w:ascii="仿宋_GB2312" w:hAnsi="仿宋_GB2312" w:eastAsia="仿宋_GB2312" w:cs="仿宋_GB2312"/>
                <w:b/>
                <w:bCs/>
                <w:color w:val="auto"/>
                <w:sz w:val="21"/>
                <w:szCs w:val="21"/>
                <w:highlight w:val="none"/>
                <w:lang w:val="en-US" w:eastAsia="zh-CN"/>
              </w:rPr>
              <w:t>级</w:t>
            </w:r>
          </w:p>
        </w:tc>
        <w:tc>
          <w:tcPr>
            <w:tcW w:w="1264" w:type="dxa"/>
            <w:shd w:val="clear" w:color="auto" w:fill="D7D7D7"/>
            <w:noWrap w:val="0"/>
            <w:vAlign w:val="center"/>
          </w:tcPr>
          <w:p w14:paraId="27AC200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rPr>
              <w:t>优</w:t>
            </w:r>
          </w:p>
        </w:tc>
        <w:tc>
          <w:tcPr>
            <w:tcW w:w="2028" w:type="dxa"/>
            <w:shd w:val="clear" w:color="auto" w:fill="D7D7D7"/>
            <w:noWrap w:val="0"/>
            <w:vAlign w:val="center"/>
          </w:tcPr>
          <w:p w14:paraId="3DA0956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rPr>
              <w:t>良</w:t>
            </w:r>
          </w:p>
        </w:tc>
        <w:tc>
          <w:tcPr>
            <w:tcW w:w="2262" w:type="dxa"/>
            <w:shd w:val="clear" w:color="auto" w:fill="D7D7D7"/>
            <w:noWrap w:val="0"/>
            <w:vAlign w:val="center"/>
          </w:tcPr>
          <w:p w14:paraId="7B4697E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1"/>
                <w:szCs w:val="21"/>
                <w:highlight w:val="none"/>
                <w:lang w:eastAsia="zh-CN"/>
              </w:rPr>
            </w:pPr>
            <w:r>
              <w:rPr>
                <w:rFonts w:hint="eastAsia" w:ascii="仿宋_GB2312" w:hAnsi="仿宋_GB2312" w:eastAsia="仿宋_GB2312" w:cs="仿宋_GB2312"/>
                <w:b/>
                <w:bCs/>
                <w:color w:val="auto"/>
                <w:sz w:val="21"/>
                <w:szCs w:val="21"/>
                <w:highlight w:val="none"/>
                <w:lang w:val="en-US" w:eastAsia="zh-CN"/>
              </w:rPr>
              <w:t>中</w:t>
            </w:r>
          </w:p>
        </w:tc>
        <w:tc>
          <w:tcPr>
            <w:tcW w:w="1363" w:type="dxa"/>
            <w:tcBorders>
              <w:right w:val="nil"/>
            </w:tcBorders>
            <w:shd w:val="clear" w:color="auto" w:fill="D7D7D7"/>
            <w:noWrap w:val="0"/>
            <w:vAlign w:val="center"/>
          </w:tcPr>
          <w:p w14:paraId="57917FA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差</w:t>
            </w:r>
          </w:p>
        </w:tc>
      </w:tr>
      <w:tr w14:paraId="21286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592" w:type="dxa"/>
            <w:tcBorders>
              <w:left w:val="nil"/>
            </w:tcBorders>
            <w:noWrap w:val="0"/>
            <w:vAlign w:val="center"/>
          </w:tcPr>
          <w:p w14:paraId="0DD6454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分值S</w:t>
            </w:r>
          </w:p>
        </w:tc>
        <w:tc>
          <w:tcPr>
            <w:tcW w:w="1264" w:type="dxa"/>
            <w:noWrap w:val="0"/>
            <w:vAlign w:val="center"/>
          </w:tcPr>
          <w:p w14:paraId="58D78FC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S ≥ 90</w:t>
            </w:r>
          </w:p>
        </w:tc>
        <w:tc>
          <w:tcPr>
            <w:tcW w:w="2028" w:type="dxa"/>
            <w:noWrap w:val="0"/>
            <w:vAlign w:val="center"/>
          </w:tcPr>
          <w:p w14:paraId="7803105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90＞ S ≥ 80</w:t>
            </w:r>
          </w:p>
        </w:tc>
        <w:tc>
          <w:tcPr>
            <w:tcW w:w="2262" w:type="dxa"/>
            <w:noWrap w:val="0"/>
            <w:vAlign w:val="center"/>
          </w:tcPr>
          <w:p w14:paraId="1FB9778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80 ＞ S ≥ 60</w:t>
            </w:r>
          </w:p>
        </w:tc>
        <w:tc>
          <w:tcPr>
            <w:tcW w:w="1363" w:type="dxa"/>
            <w:tcBorders>
              <w:right w:val="nil"/>
            </w:tcBorders>
            <w:noWrap w:val="0"/>
            <w:vAlign w:val="center"/>
          </w:tcPr>
          <w:p w14:paraId="455EA9BC">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S ＜ 60</w:t>
            </w:r>
          </w:p>
        </w:tc>
      </w:tr>
    </w:tbl>
    <w:p w14:paraId="1EA1BF35">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52"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（四）绩效评价工作过程</w:t>
      </w:r>
    </w:p>
    <w:p w14:paraId="62416960">
      <w:pPr>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为了做好本次绩效评价工作，</w:t>
      </w:r>
      <w:r>
        <w:rPr>
          <w:rFonts w:hint="eastAsia" w:ascii="仿宋_GB2312" w:hAnsi="仿宋_GB2312" w:eastAsia="仿宋_GB2312" w:cs="仿宋_GB2312"/>
          <w:color w:val="auto"/>
          <w:sz w:val="32"/>
          <w:szCs w:val="32"/>
          <w:highlight w:val="none"/>
          <w:lang w:val="en-US" w:eastAsia="zh-CN"/>
        </w:rPr>
        <w:t>我们按照</w:t>
      </w:r>
      <w:r>
        <w:rPr>
          <w:rFonts w:hint="eastAsia" w:ascii="仿宋_GB2312" w:hAnsi="仿宋_GB2312" w:eastAsia="仿宋_GB2312" w:cs="仿宋_GB2312"/>
          <w:color w:val="auto"/>
          <w:sz w:val="32"/>
          <w:szCs w:val="32"/>
          <w:highlight w:val="none"/>
        </w:rPr>
        <w:t>准备阶段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实施阶段（</w:t>
      </w:r>
      <w:r>
        <w:rPr>
          <w:rFonts w:hint="default" w:ascii="仿宋_GB2312" w:hAnsi="仿宋_GB2312" w:eastAsia="仿宋_GB2312" w:cs="仿宋_GB2312"/>
          <w:color w:val="auto"/>
          <w:sz w:val="32"/>
          <w:szCs w:val="32"/>
          <w:highlight w:val="none"/>
          <w:lang w:val="en-US" w:eastAsia="zh-CN"/>
        </w:rPr>
        <w:t>资料收集和初审</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现场考察</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数据整理与分析</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综合评价</w:t>
      </w:r>
      <w:r>
        <w:rPr>
          <w:rFonts w:hint="eastAsia" w:ascii="仿宋_GB2312" w:hAnsi="仿宋_GB2312" w:eastAsia="仿宋_GB2312" w:cs="仿宋_GB2312"/>
          <w:color w:val="auto"/>
          <w:sz w:val="32"/>
          <w:szCs w:val="32"/>
          <w:highlight w:val="none"/>
          <w:lang w:val="en-US" w:eastAsia="zh-CN"/>
        </w:rPr>
        <w:t>）、报告撰写与提交阶段（</w:t>
      </w:r>
      <w:r>
        <w:rPr>
          <w:rFonts w:hint="default" w:ascii="仿宋_GB2312" w:hAnsi="仿宋_GB2312" w:eastAsia="仿宋_GB2312" w:cs="仿宋_GB2312"/>
          <w:color w:val="auto"/>
          <w:sz w:val="32"/>
          <w:szCs w:val="32"/>
          <w:highlight w:val="none"/>
          <w:lang w:val="en-US" w:eastAsia="zh-CN"/>
        </w:rPr>
        <w:t>撰写评价报告</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提交报告</w:t>
      </w:r>
      <w:r>
        <w:rPr>
          <w:rFonts w:hint="eastAsia" w:ascii="仿宋_GB2312" w:hAnsi="仿宋_GB2312" w:eastAsia="仿宋_GB2312" w:cs="仿宋_GB2312"/>
          <w:color w:val="auto"/>
          <w:sz w:val="32"/>
          <w:szCs w:val="32"/>
          <w:highlight w:val="none"/>
          <w:lang w:val="en-US" w:eastAsia="zh-CN"/>
        </w:rPr>
        <w:t>等）和</w:t>
      </w:r>
      <w:r>
        <w:rPr>
          <w:rFonts w:hint="default" w:ascii="仿宋_GB2312" w:hAnsi="仿宋_GB2312" w:eastAsia="仿宋_GB2312" w:cs="仿宋_GB2312"/>
          <w:color w:val="auto"/>
          <w:sz w:val="32"/>
          <w:szCs w:val="32"/>
          <w:highlight w:val="none"/>
          <w:lang w:val="en-US" w:eastAsia="zh-CN"/>
        </w:rPr>
        <w:t>结果应用</w:t>
      </w:r>
      <w:r>
        <w:rPr>
          <w:rFonts w:hint="eastAsia" w:ascii="仿宋_GB2312" w:hAnsi="仿宋_GB2312" w:eastAsia="仿宋_GB2312" w:cs="仿宋_GB2312"/>
          <w:color w:val="auto"/>
          <w:sz w:val="32"/>
          <w:szCs w:val="32"/>
          <w:highlight w:val="none"/>
          <w:lang w:val="en-US" w:eastAsia="zh-CN"/>
        </w:rPr>
        <w:t>四个</w:t>
      </w:r>
      <w:r>
        <w:rPr>
          <w:rFonts w:hint="default" w:ascii="仿宋_GB2312" w:hAnsi="仿宋_GB2312" w:eastAsia="仿宋_GB2312" w:cs="仿宋_GB2312"/>
          <w:color w:val="auto"/>
          <w:sz w:val="32"/>
          <w:szCs w:val="32"/>
          <w:highlight w:val="none"/>
          <w:lang w:val="en-US" w:eastAsia="zh-CN"/>
        </w:rPr>
        <w:t>阶段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采取项目单位自评、收集项目相关资料、数据分析、现场调查和问卷调查相结合的方法</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rPr>
        <w:t>该</w:t>
      </w: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开展了现场评价。经过分析研究，并征求相关部门意见，得出该项目绩效评价结论</w:t>
      </w:r>
      <w:r>
        <w:rPr>
          <w:rFonts w:hint="default" w:ascii="仿宋_GB2312" w:hAnsi="仿宋_GB2312" w:eastAsia="仿宋_GB2312" w:cs="仿宋_GB2312"/>
          <w:color w:val="auto"/>
          <w:sz w:val="32"/>
          <w:szCs w:val="32"/>
          <w:highlight w:val="none"/>
          <w:lang w:val="en-US" w:eastAsia="zh-CN"/>
        </w:rPr>
        <w:t>。</w:t>
      </w:r>
    </w:p>
    <w:p w14:paraId="44B26A66">
      <w:pPr>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（五）评价局限性</w:t>
      </w:r>
    </w:p>
    <w:p w14:paraId="2181C6D0">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尽管评价组在评价中力求科学、规范、客观和公正，但在实际评价过程中依然存在局限性：一是由于评价时间、人力等限制，获取数据与信息来源存在局限性；二是评价工作人员知识面、经验等限制，在理解和判断上存在认知局限性；三是受问卷调查覆盖面及被调查者认知、愿望等方面的主观倾向性限制，公众满意度测评结果可能存在一定局限性。</w:t>
      </w:r>
    </w:p>
    <w:p w14:paraId="7DF9A679">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三、综合评价情况及评价结论（附相关评分表） </w:t>
      </w:r>
    </w:p>
    <w:p w14:paraId="0276036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宋体" w:eastAsia="仿宋_GB2312" w:cs="仿宋_GB2312"/>
          <w:color w:val="auto"/>
          <w:kern w:val="0"/>
          <w:sz w:val="31"/>
          <w:szCs w:val="31"/>
          <w:highlight w:val="none"/>
          <w:lang w:val="en-US" w:eastAsia="zh-CN" w:bidi="ar"/>
        </w:rPr>
      </w:pPr>
      <w:r>
        <w:rPr>
          <w:rFonts w:hint="eastAsia" w:ascii="仿宋_GB2312" w:hAnsi="仿宋_GB2312" w:eastAsia="仿宋_GB2312" w:cs="仿宋_GB2312"/>
          <w:color w:val="auto"/>
          <w:sz w:val="32"/>
          <w:szCs w:val="32"/>
          <w:highlight w:val="none"/>
          <w:lang w:val="en-US" w:eastAsia="zh-CN"/>
        </w:rPr>
        <w:t xml:space="preserve"> 2024年扶风县“多规合一”实用性村庄规划编制项目资金安排符合相关法律、法规及政策要求，符合乡村振兴、国土空间治理和经济社会高质量发展需要，立项依据充分、程序规范，资金到位及时、预算到位资金执行率高，资金使用合规，项目产出数量指标完成较好，项目经济效益、社会效益、生态效益、可持续影响较好。但项目相关制度建设有待加强、合同管理不够规范、绩效评价工作有待进一步加强。结合单位自评、信息采集、问卷调查等情况，经评价组认真评价，项目绩效评价综合得分87.9分，整体评价结论为良，详见表7。</w:t>
      </w:r>
    </w:p>
    <w:p w14:paraId="0486E359">
      <w:pPr>
        <w:keepNext w:val="0"/>
        <w:keepLines w:val="0"/>
        <w:pageBreakBefore w:val="0"/>
        <w:widowControl/>
        <w:suppressLineNumbers w:val="0"/>
        <w:kinsoku/>
        <w:wordWrap/>
        <w:overflowPunct/>
        <w:topLinePunct w:val="0"/>
        <w:autoSpaceDE/>
        <w:autoSpaceDN/>
        <w:bidi w:val="0"/>
        <w:adjustRightInd/>
        <w:snapToGrid/>
        <w:spacing w:line="560" w:lineRule="exact"/>
        <w:ind w:firstLine="2574" w:firstLineChars="900"/>
        <w:jc w:val="left"/>
        <w:textAlignment w:val="auto"/>
        <w:rPr>
          <w:color w:val="auto"/>
          <w:highlight w:val="none"/>
        </w:rPr>
      </w:pPr>
      <w:r>
        <w:rPr>
          <w:rFonts w:ascii="仿宋_GB2312" w:hAnsi="宋体" w:eastAsia="仿宋_GB2312" w:cs="仿宋_GB2312"/>
          <w:b/>
          <w:bCs/>
          <w:color w:val="auto"/>
          <w:kern w:val="0"/>
          <w:sz w:val="28"/>
          <w:szCs w:val="28"/>
          <w:highlight w:val="none"/>
          <w:lang w:val="en-US" w:eastAsia="zh-CN" w:bidi="ar"/>
        </w:rPr>
        <w:t>表</w:t>
      </w:r>
      <w:r>
        <w:rPr>
          <w:rFonts w:hint="eastAsia" w:ascii="仿宋_GB2312" w:hAnsi="宋体" w:eastAsia="仿宋_GB2312" w:cs="仿宋_GB2312"/>
          <w:b/>
          <w:bCs/>
          <w:color w:val="auto"/>
          <w:kern w:val="0"/>
          <w:sz w:val="28"/>
          <w:szCs w:val="28"/>
          <w:highlight w:val="none"/>
          <w:lang w:val="en-US" w:eastAsia="zh-CN" w:bidi="ar"/>
        </w:rPr>
        <w:t>7   项目</w:t>
      </w:r>
      <w:r>
        <w:rPr>
          <w:rFonts w:ascii="仿宋_GB2312" w:hAnsi="宋体" w:eastAsia="仿宋_GB2312" w:cs="仿宋_GB2312"/>
          <w:b/>
          <w:bCs/>
          <w:color w:val="auto"/>
          <w:kern w:val="0"/>
          <w:sz w:val="28"/>
          <w:szCs w:val="28"/>
          <w:highlight w:val="none"/>
          <w:lang w:val="en-US" w:eastAsia="zh-CN" w:bidi="ar"/>
        </w:rPr>
        <w:t>指标评分表</w:t>
      </w:r>
    </w:p>
    <w:tbl>
      <w:tblPr>
        <w:tblStyle w:val="18"/>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313"/>
        <w:gridCol w:w="2216"/>
        <w:gridCol w:w="2071"/>
      </w:tblGrid>
      <w:tr w14:paraId="46ADFE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17" w:type="dxa"/>
            <w:shd w:val="clear" w:color="auto" w:fill="D7D7D7"/>
            <w:noWrap w:val="0"/>
            <w:vAlign w:val="center"/>
          </w:tcPr>
          <w:p w14:paraId="1E1A415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一级指标</w:t>
            </w:r>
          </w:p>
        </w:tc>
        <w:tc>
          <w:tcPr>
            <w:tcW w:w="2313" w:type="dxa"/>
            <w:shd w:val="clear" w:color="auto" w:fill="D7D7D7"/>
            <w:noWrap w:val="0"/>
            <w:vAlign w:val="center"/>
          </w:tcPr>
          <w:p w14:paraId="2DB7CE8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分值</w:t>
            </w:r>
          </w:p>
        </w:tc>
        <w:tc>
          <w:tcPr>
            <w:tcW w:w="2216" w:type="dxa"/>
            <w:shd w:val="clear" w:color="auto" w:fill="D7D7D7"/>
            <w:noWrap w:val="0"/>
            <w:vAlign w:val="center"/>
          </w:tcPr>
          <w:p w14:paraId="13CE938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w:t>
            </w:r>
          </w:p>
        </w:tc>
        <w:tc>
          <w:tcPr>
            <w:tcW w:w="2071" w:type="dxa"/>
            <w:shd w:val="clear" w:color="auto" w:fill="D7D7D7"/>
            <w:noWrap w:val="0"/>
            <w:vAlign w:val="center"/>
          </w:tcPr>
          <w:p w14:paraId="6C52C1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得分率</w:t>
            </w:r>
          </w:p>
        </w:tc>
      </w:tr>
      <w:tr w14:paraId="07B92B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117" w:type="dxa"/>
            <w:noWrap w:val="0"/>
            <w:vAlign w:val="top"/>
          </w:tcPr>
          <w:p w14:paraId="722A7D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项目决策</w:t>
            </w:r>
          </w:p>
        </w:tc>
        <w:tc>
          <w:tcPr>
            <w:tcW w:w="2313" w:type="dxa"/>
            <w:noWrap w:val="0"/>
            <w:vAlign w:val="top"/>
          </w:tcPr>
          <w:p w14:paraId="7B3DCD1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12</w:t>
            </w:r>
          </w:p>
        </w:tc>
        <w:tc>
          <w:tcPr>
            <w:tcW w:w="2216" w:type="dxa"/>
            <w:noWrap w:val="0"/>
            <w:vAlign w:val="top"/>
          </w:tcPr>
          <w:p w14:paraId="19D94DF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11</w:t>
            </w:r>
          </w:p>
        </w:tc>
        <w:tc>
          <w:tcPr>
            <w:tcW w:w="2071" w:type="dxa"/>
            <w:noWrap w:val="0"/>
            <w:vAlign w:val="top"/>
          </w:tcPr>
          <w:p w14:paraId="4488530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91.67%</w:t>
            </w:r>
          </w:p>
        </w:tc>
      </w:tr>
      <w:tr w14:paraId="05C709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6B1796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项目过程</w:t>
            </w:r>
          </w:p>
        </w:tc>
        <w:tc>
          <w:tcPr>
            <w:tcW w:w="2313" w:type="dxa"/>
            <w:noWrap w:val="0"/>
            <w:vAlign w:val="top"/>
          </w:tcPr>
          <w:p w14:paraId="1CD673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17</w:t>
            </w:r>
          </w:p>
        </w:tc>
        <w:tc>
          <w:tcPr>
            <w:tcW w:w="2216" w:type="dxa"/>
            <w:noWrap w:val="0"/>
            <w:vAlign w:val="top"/>
          </w:tcPr>
          <w:p w14:paraId="4528C9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15</w:t>
            </w:r>
          </w:p>
        </w:tc>
        <w:tc>
          <w:tcPr>
            <w:tcW w:w="2071" w:type="dxa"/>
            <w:noWrap w:val="0"/>
            <w:vAlign w:val="top"/>
          </w:tcPr>
          <w:p w14:paraId="2336B08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88.24%</w:t>
            </w:r>
          </w:p>
        </w:tc>
      </w:tr>
      <w:tr w14:paraId="28F4C2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491C0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项目成本</w:t>
            </w:r>
          </w:p>
        </w:tc>
        <w:tc>
          <w:tcPr>
            <w:tcW w:w="2313" w:type="dxa"/>
            <w:noWrap w:val="0"/>
            <w:vAlign w:val="top"/>
          </w:tcPr>
          <w:p w14:paraId="45B76D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11</w:t>
            </w:r>
          </w:p>
        </w:tc>
        <w:tc>
          <w:tcPr>
            <w:tcW w:w="2216" w:type="dxa"/>
            <w:noWrap w:val="0"/>
            <w:vAlign w:val="top"/>
          </w:tcPr>
          <w:p w14:paraId="5DB9A37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11</w:t>
            </w:r>
          </w:p>
        </w:tc>
        <w:tc>
          <w:tcPr>
            <w:tcW w:w="2071" w:type="dxa"/>
            <w:noWrap w:val="0"/>
            <w:vAlign w:val="top"/>
          </w:tcPr>
          <w:p w14:paraId="41A94E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100.00%</w:t>
            </w:r>
          </w:p>
        </w:tc>
      </w:tr>
      <w:tr w14:paraId="349F95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4D5B721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项目产出</w:t>
            </w:r>
          </w:p>
        </w:tc>
        <w:tc>
          <w:tcPr>
            <w:tcW w:w="2313" w:type="dxa"/>
            <w:noWrap w:val="0"/>
            <w:vAlign w:val="center"/>
          </w:tcPr>
          <w:p w14:paraId="48251A3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25</w:t>
            </w:r>
          </w:p>
        </w:tc>
        <w:tc>
          <w:tcPr>
            <w:tcW w:w="2216" w:type="dxa"/>
            <w:noWrap w:val="0"/>
            <w:vAlign w:val="center"/>
          </w:tcPr>
          <w:p w14:paraId="3E2A32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22</w:t>
            </w:r>
          </w:p>
        </w:tc>
        <w:tc>
          <w:tcPr>
            <w:tcW w:w="2071" w:type="dxa"/>
            <w:noWrap w:val="0"/>
            <w:vAlign w:val="top"/>
          </w:tcPr>
          <w:p w14:paraId="0324B05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88.00%</w:t>
            </w:r>
          </w:p>
        </w:tc>
      </w:tr>
      <w:tr w14:paraId="0A7A9C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117" w:type="dxa"/>
            <w:noWrap w:val="0"/>
            <w:vAlign w:val="top"/>
          </w:tcPr>
          <w:p w14:paraId="2E9C06E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项目效益</w:t>
            </w:r>
          </w:p>
        </w:tc>
        <w:tc>
          <w:tcPr>
            <w:tcW w:w="2313" w:type="dxa"/>
            <w:noWrap w:val="0"/>
            <w:vAlign w:val="center"/>
          </w:tcPr>
          <w:p w14:paraId="6E6C3C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35</w:t>
            </w:r>
          </w:p>
        </w:tc>
        <w:tc>
          <w:tcPr>
            <w:tcW w:w="2216" w:type="dxa"/>
            <w:noWrap w:val="0"/>
            <w:vAlign w:val="center"/>
          </w:tcPr>
          <w:p w14:paraId="7B198EF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28.9</w:t>
            </w:r>
          </w:p>
        </w:tc>
        <w:tc>
          <w:tcPr>
            <w:tcW w:w="2071" w:type="dxa"/>
            <w:noWrap w:val="0"/>
            <w:vAlign w:val="top"/>
          </w:tcPr>
          <w:p w14:paraId="3BFBE06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82.57%</w:t>
            </w:r>
          </w:p>
        </w:tc>
      </w:tr>
      <w:tr w14:paraId="4A1894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17" w:type="dxa"/>
            <w:noWrap w:val="0"/>
            <w:vAlign w:val="top"/>
          </w:tcPr>
          <w:p w14:paraId="0090E8A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宋体" w:eastAsia="仿宋_GB2312" w:cs="仿宋_GB2312"/>
                <w:b/>
                <w:bCs/>
                <w:color w:val="auto"/>
                <w:kern w:val="0"/>
                <w:sz w:val="24"/>
                <w:szCs w:val="24"/>
                <w:highlight w:val="none"/>
                <w:lang w:val="en-US" w:eastAsia="zh-CN" w:bidi="ar"/>
              </w:rPr>
            </w:pPr>
            <w:r>
              <w:rPr>
                <w:rFonts w:hint="eastAsia" w:ascii="仿宋_GB2312" w:hAnsi="宋体" w:eastAsia="仿宋_GB2312" w:cs="仿宋_GB2312"/>
                <w:b/>
                <w:bCs/>
                <w:color w:val="auto"/>
                <w:kern w:val="0"/>
                <w:sz w:val="24"/>
                <w:szCs w:val="24"/>
                <w:highlight w:val="none"/>
                <w:lang w:val="en-US" w:eastAsia="zh-CN" w:bidi="ar"/>
              </w:rPr>
              <w:t>合计</w:t>
            </w:r>
          </w:p>
        </w:tc>
        <w:tc>
          <w:tcPr>
            <w:tcW w:w="2313" w:type="dxa"/>
            <w:noWrap w:val="0"/>
            <w:vAlign w:val="top"/>
          </w:tcPr>
          <w:p w14:paraId="4301BF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100</w:t>
            </w:r>
          </w:p>
        </w:tc>
        <w:tc>
          <w:tcPr>
            <w:tcW w:w="2216" w:type="dxa"/>
            <w:noWrap w:val="0"/>
            <w:vAlign w:val="top"/>
          </w:tcPr>
          <w:p w14:paraId="5C1BF6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87.9</w:t>
            </w:r>
          </w:p>
        </w:tc>
        <w:tc>
          <w:tcPr>
            <w:tcW w:w="2071" w:type="dxa"/>
            <w:noWrap w:val="0"/>
            <w:vAlign w:val="top"/>
          </w:tcPr>
          <w:p w14:paraId="377834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87.90%</w:t>
            </w:r>
          </w:p>
        </w:tc>
      </w:tr>
      <w:tr w14:paraId="132725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717" w:type="dxa"/>
            <w:gridSpan w:val="4"/>
            <w:noWrap w:val="0"/>
            <w:vAlign w:val="top"/>
          </w:tcPr>
          <w:p w14:paraId="7A2F0E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黑体" w:hAnsi="黑体" w:eastAsia="黑体" w:cs="黑体"/>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绩效评价得分：87.9     综合评价结果等级：良</w:t>
            </w:r>
          </w:p>
        </w:tc>
      </w:tr>
    </w:tbl>
    <w:p w14:paraId="33CFB5E1">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四、绩效评价指标分析</w:t>
      </w:r>
    </w:p>
    <w:p w14:paraId="32908EDF">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（一）项目决策情况</w:t>
      </w:r>
    </w:p>
    <w:p w14:paraId="5287DC41">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项目决策</w:t>
      </w:r>
      <w:r>
        <w:rPr>
          <w:rFonts w:hint="eastAsia" w:ascii="仿宋_GB2312" w:hAnsi="仿宋_GB2312" w:eastAsia="仿宋_GB2312" w:cs="仿宋_GB2312"/>
          <w:color w:val="auto"/>
          <w:sz w:val="32"/>
          <w:szCs w:val="32"/>
          <w:highlight w:val="none"/>
        </w:rPr>
        <w:t>从项目立项、绩效目标、</w:t>
      </w:r>
      <w:r>
        <w:rPr>
          <w:rFonts w:hint="eastAsia" w:ascii="仿宋_GB2312" w:hAnsi="仿宋_GB2312" w:eastAsia="仿宋_GB2312" w:cs="仿宋_GB2312"/>
          <w:color w:val="auto"/>
          <w:sz w:val="32"/>
          <w:szCs w:val="32"/>
          <w:highlight w:val="none"/>
          <w:lang w:val="en-US" w:eastAsia="zh-CN"/>
        </w:rPr>
        <w:t>资金投入</w:t>
      </w:r>
      <w:r>
        <w:rPr>
          <w:rFonts w:hint="eastAsia" w:ascii="仿宋_GB2312" w:hAnsi="仿宋_GB2312" w:eastAsia="仿宋_GB2312" w:cs="仿宋_GB2312"/>
          <w:color w:val="auto"/>
          <w:sz w:val="32"/>
          <w:szCs w:val="32"/>
          <w:highlight w:val="none"/>
        </w:rPr>
        <w:t>三个方面进行评价。项目</w:t>
      </w:r>
      <w:r>
        <w:rPr>
          <w:rFonts w:hint="eastAsia" w:ascii="仿宋_GB2312" w:hAnsi="仿宋_GB2312" w:eastAsia="仿宋_GB2312" w:cs="仿宋_GB2312"/>
          <w:color w:val="auto"/>
          <w:sz w:val="32"/>
          <w:szCs w:val="32"/>
          <w:highlight w:val="none"/>
          <w:lang w:val="en-US" w:eastAsia="zh-CN"/>
        </w:rPr>
        <w:t>决策</w:t>
      </w:r>
      <w:r>
        <w:rPr>
          <w:rFonts w:hint="eastAsia" w:ascii="仿宋_GB2312" w:hAnsi="仿宋_GB2312" w:eastAsia="仿宋_GB2312" w:cs="仿宋_GB2312"/>
          <w:color w:val="auto"/>
          <w:sz w:val="32"/>
          <w:szCs w:val="32"/>
          <w:highlight w:val="none"/>
        </w:rPr>
        <w:t>满分</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分，得分</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分。具体得分详见表</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lang w:eastAsia="zh-CN"/>
        </w:rPr>
        <w:t>。</w:t>
      </w:r>
    </w:p>
    <w:p w14:paraId="6F0E2970">
      <w:pPr>
        <w:pStyle w:val="10"/>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kern w:val="2"/>
          <w:sz w:val="28"/>
          <w:szCs w:val="28"/>
          <w:highlight w:val="none"/>
          <w:lang w:val="en-US" w:eastAsia="zh-CN" w:bidi="ar-SA"/>
        </w:rPr>
        <w:t>表8  项目决策绩效指标分析表</w:t>
      </w:r>
    </w:p>
    <w:tbl>
      <w:tblPr>
        <w:tblStyle w:val="17"/>
        <w:tblW w:w="8759"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804"/>
        <w:gridCol w:w="1607"/>
        <w:gridCol w:w="2829"/>
        <w:gridCol w:w="1082"/>
        <w:gridCol w:w="1082"/>
      </w:tblGrid>
      <w:tr w14:paraId="5CAD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55" w:type="dxa"/>
            <w:tcBorders>
              <w:left w:val="nil"/>
              <w:tl2br w:val="nil"/>
              <w:tr2bl w:val="nil"/>
            </w:tcBorders>
            <w:shd w:val="clear" w:color="auto" w:fill="D7D7D7"/>
            <w:noWrap w:val="0"/>
            <w:vAlign w:val="center"/>
          </w:tcPr>
          <w:p w14:paraId="1335A91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4" w:type="dxa"/>
            <w:tcBorders>
              <w:tl2br w:val="nil"/>
              <w:tr2bl w:val="nil"/>
            </w:tcBorders>
            <w:shd w:val="clear" w:color="auto" w:fill="D7D7D7"/>
            <w:noWrap w:val="0"/>
            <w:vAlign w:val="center"/>
          </w:tcPr>
          <w:p w14:paraId="085612E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607" w:type="dxa"/>
            <w:tcBorders>
              <w:tl2br w:val="nil"/>
              <w:tr2bl w:val="nil"/>
            </w:tcBorders>
            <w:shd w:val="clear" w:color="auto" w:fill="D7D7D7"/>
            <w:noWrap w:val="0"/>
            <w:vAlign w:val="center"/>
          </w:tcPr>
          <w:p w14:paraId="19A0D46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829" w:type="dxa"/>
            <w:tcBorders>
              <w:tl2br w:val="nil"/>
              <w:tr2bl w:val="nil"/>
            </w:tcBorders>
            <w:shd w:val="clear" w:color="auto" w:fill="D7D7D7"/>
            <w:noWrap w:val="0"/>
            <w:vAlign w:val="center"/>
          </w:tcPr>
          <w:p w14:paraId="466DE91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1082" w:type="dxa"/>
            <w:tcBorders>
              <w:tl2br w:val="nil"/>
              <w:tr2bl w:val="nil"/>
            </w:tcBorders>
            <w:shd w:val="clear" w:color="auto" w:fill="D7D7D7"/>
            <w:noWrap w:val="0"/>
            <w:vAlign w:val="center"/>
          </w:tcPr>
          <w:p w14:paraId="0C5A6B8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082" w:type="dxa"/>
            <w:tcBorders>
              <w:right w:val="nil"/>
              <w:tl2br w:val="nil"/>
              <w:tr2bl w:val="nil"/>
            </w:tcBorders>
            <w:shd w:val="clear" w:color="auto" w:fill="D7D7D7"/>
            <w:noWrap w:val="0"/>
            <w:vAlign w:val="center"/>
          </w:tcPr>
          <w:p w14:paraId="5469CC5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0E15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restart"/>
            <w:tcBorders>
              <w:left w:val="nil"/>
              <w:tl2br w:val="nil"/>
              <w:tr2bl w:val="nil"/>
            </w:tcBorders>
            <w:shd w:val="clear" w:color="auto" w:fill="auto"/>
            <w:noWrap w:val="0"/>
            <w:vAlign w:val="center"/>
          </w:tcPr>
          <w:p w14:paraId="1FC81CD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决策</w:t>
            </w:r>
          </w:p>
        </w:tc>
        <w:tc>
          <w:tcPr>
            <w:tcW w:w="804" w:type="dxa"/>
            <w:vMerge w:val="restart"/>
            <w:tcBorders>
              <w:tl2br w:val="nil"/>
              <w:tr2bl w:val="nil"/>
            </w:tcBorders>
            <w:shd w:val="clear" w:color="auto" w:fill="auto"/>
            <w:noWrap w:val="0"/>
            <w:vAlign w:val="center"/>
          </w:tcPr>
          <w:p w14:paraId="53EBF7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12</w:t>
            </w:r>
          </w:p>
        </w:tc>
        <w:tc>
          <w:tcPr>
            <w:tcW w:w="1607" w:type="dxa"/>
            <w:vMerge w:val="restart"/>
            <w:tcBorders>
              <w:tl2br w:val="nil"/>
              <w:tr2bl w:val="nil"/>
            </w:tcBorders>
            <w:shd w:val="clear" w:color="auto" w:fill="auto"/>
            <w:noWrap w:val="0"/>
            <w:vAlign w:val="center"/>
          </w:tcPr>
          <w:p w14:paraId="54794D9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项目立项</w:t>
            </w:r>
          </w:p>
        </w:tc>
        <w:tc>
          <w:tcPr>
            <w:tcW w:w="2829" w:type="dxa"/>
            <w:tcBorders>
              <w:tl2br w:val="nil"/>
              <w:tr2bl w:val="nil"/>
            </w:tcBorders>
            <w:shd w:val="clear" w:color="auto" w:fill="auto"/>
            <w:noWrap w:val="0"/>
            <w:vAlign w:val="center"/>
          </w:tcPr>
          <w:p w14:paraId="3DBE894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立项依据充分性</w:t>
            </w:r>
          </w:p>
        </w:tc>
        <w:tc>
          <w:tcPr>
            <w:tcW w:w="1082" w:type="dxa"/>
            <w:tcBorders>
              <w:tl2br w:val="nil"/>
              <w:tr2bl w:val="nil"/>
            </w:tcBorders>
            <w:shd w:val="clear" w:color="auto" w:fill="auto"/>
            <w:noWrap w:val="0"/>
            <w:vAlign w:val="center"/>
          </w:tcPr>
          <w:p w14:paraId="0E22433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05DA42C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5E8E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12FA845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5DB71A5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70DB54A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4411158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立项程序规范性</w:t>
            </w:r>
          </w:p>
        </w:tc>
        <w:tc>
          <w:tcPr>
            <w:tcW w:w="1082" w:type="dxa"/>
            <w:tcBorders>
              <w:tl2br w:val="nil"/>
              <w:tr2bl w:val="nil"/>
            </w:tcBorders>
            <w:shd w:val="clear" w:color="auto" w:fill="auto"/>
            <w:noWrap w:val="0"/>
            <w:vAlign w:val="center"/>
          </w:tcPr>
          <w:p w14:paraId="131AB6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5D0C6B8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6BEF7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0F7AE99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0490C36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5F865D2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w:t>
            </w:r>
          </w:p>
        </w:tc>
        <w:tc>
          <w:tcPr>
            <w:tcW w:w="2829" w:type="dxa"/>
            <w:tcBorders>
              <w:tl2br w:val="nil"/>
              <w:tr2bl w:val="nil"/>
            </w:tcBorders>
            <w:shd w:val="clear" w:color="auto" w:fill="auto"/>
            <w:noWrap w:val="0"/>
            <w:vAlign w:val="center"/>
          </w:tcPr>
          <w:p w14:paraId="1F6500E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绩效目标合理性</w:t>
            </w:r>
          </w:p>
        </w:tc>
        <w:tc>
          <w:tcPr>
            <w:tcW w:w="1082" w:type="dxa"/>
            <w:tcBorders>
              <w:tl2br w:val="nil"/>
              <w:tr2bl w:val="nil"/>
            </w:tcBorders>
            <w:shd w:val="clear" w:color="auto" w:fill="auto"/>
            <w:noWrap w:val="0"/>
            <w:vAlign w:val="center"/>
          </w:tcPr>
          <w:p w14:paraId="3907CB1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350F7AC7">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1.6</w:t>
            </w:r>
          </w:p>
        </w:tc>
      </w:tr>
      <w:tr w14:paraId="58DF3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0160ACF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6CC8889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6F9B026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793D58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绩效指标明确性</w:t>
            </w:r>
          </w:p>
        </w:tc>
        <w:tc>
          <w:tcPr>
            <w:tcW w:w="1082" w:type="dxa"/>
            <w:tcBorders>
              <w:tl2br w:val="nil"/>
              <w:tr2bl w:val="nil"/>
            </w:tcBorders>
            <w:shd w:val="clear" w:color="auto" w:fill="auto"/>
            <w:noWrap w:val="0"/>
            <w:vAlign w:val="center"/>
          </w:tcPr>
          <w:p w14:paraId="28726FF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31FD51B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1.6</w:t>
            </w:r>
          </w:p>
        </w:tc>
      </w:tr>
      <w:tr w14:paraId="1408C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0774259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6D5DDE2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25187D9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资金投入</w:t>
            </w:r>
          </w:p>
        </w:tc>
        <w:tc>
          <w:tcPr>
            <w:tcW w:w="2829" w:type="dxa"/>
            <w:tcBorders>
              <w:tl2br w:val="nil"/>
              <w:tr2bl w:val="nil"/>
            </w:tcBorders>
            <w:shd w:val="clear" w:color="auto" w:fill="auto"/>
            <w:noWrap w:val="0"/>
            <w:vAlign w:val="center"/>
          </w:tcPr>
          <w:p w14:paraId="2946DEC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预算编制科学性</w:t>
            </w:r>
          </w:p>
        </w:tc>
        <w:tc>
          <w:tcPr>
            <w:tcW w:w="1082" w:type="dxa"/>
            <w:tcBorders>
              <w:tl2br w:val="nil"/>
              <w:tr2bl w:val="nil"/>
            </w:tcBorders>
            <w:shd w:val="clear" w:color="auto" w:fill="auto"/>
            <w:noWrap w:val="0"/>
            <w:vAlign w:val="center"/>
          </w:tcPr>
          <w:p w14:paraId="61E59A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6534A77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3E08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260EEB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74E1795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6C500C7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5F0F968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资金分配合理性</w:t>
            </w:r>
          </w:p>
        </w:tc>
        <w:tc>
          <w:tcPr>
            <w:tcW w:w="1082" w:type="dxa"/>
            <w:tcBorders>
              <w:tl2br w:val="nil"/>
              <w:tr2bl w:val="nil"/>
            </w:tcBorders>
            <w:shd w:val="clear" w:color="auto" w:fill="auto"/>
            <w:noWrap w:val="0"/>
            <w:vAlign w:val="center"/>
          </w:tcPr>
          <w:p w14:paraId="0A3138F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453BFCF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4F64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tcBorders>
              <w:left w:val="nil"/>
              <w:tl2br w:val="nil"/>
              <w:tr2bl w:val="nil"/>
            </w:tcBorders>
            <w:shd w:val="clear" w:color="auto" w:fill="auto"/>
            <w:noWrap w:val="0"/>
            <w:vAlign w:val="center"/>
          </w:tcPr>
          <w:p w14:paraId="783D289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合计</w:t>
            </w:r>
          </w:p>
        </w:tc>
        <w:tc>
          <w:tcPr>
            <w:tcW w:w="804" w:type="dxa"/>
            <w:tcBorders>
              <w:tl2br w:val="nil"/>
              <w:tr2bl w:val="nil"/>
            </w:tcBorders>
            <w:shd w:val="clear" w:color="auto" w:fill="auto"/>
            <w:noWrap w:val="0"/>
            <w:vAlign w:val="center"/>
          </w:tcPr>
          <w:p w14:paraId="0959A57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12</w:t>
            </w:r>
          </w:p>
        </w:tc>
        <w:tc>
          <w:tcPr>
            <w:tcW w:w="1607" w:type="dxa"/>
            <w:tcBorders>
              <w:tl2br w:val="nil"/>
              <w:tr2bl w:val="nil"/>
            </w:tcBorders>
            <w:shd w:val="clear" w:color="auto" w:fill="auto"/>
            <w:noWrap w:val="0"/>
            <w:vAlign w:val="center"/>
          </w:tcPr>
          <w:p w14:paraId="4A8192E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t>—</w:t>
            </w:r>
          </w:p>
        </w:tc>
        <w:tc>
          <w:tcPr>
            <w:tcW w:w="2829" w:type="dxa"/>
            <w:tcBorders>
              <w:tl2br w:val="nil"/>
              <w:tr2bl w:val="nil"/>
            </w:tcBorders>
            <w:shd w:val="clear" w:color="auto" w:fill="auto"/>
            <w:noWrap w:val="0"/>
            <w:vAlign w:val="center"/>
          </w:tcPr>
          <w:p w14:paraId="748212C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p>
        </w:tc>
        <w:tc>
          <w:tcPr>
            <w:tcW w:w="1082" w:type="dxa"/>
            <w:tcBorders>
              <w:tl2br w:val="nil"/>
              <w:tr2bl w:val="nil"/>
            </w:tcBorders>
            <w:shd w:val="clear" w:color="auto" w:fill="auto"/>
            <w:noWrap w:val="0"/>
            <w:vAlign w:val="center"/>
          </w:tcPr>
          <w:p w14:paraId="24FCAFC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fldChar w:fldCharType="begin"/>
            </w:r>
            <w:r>
              <w:rPr>
                <w:rFonts w:hint="eastAsia" w:ascii="仿宋_GB2312" w:hAnsi="仿宋_GB2312" w:eastAsia="仿宋_GB2312" w:cs="仿宋_GB2312"/>
                <w:b/>
                <w:bCs/>
                <w:color w:val="auto"/>
                <w:sz w:val="24"/>
                <w:szCs w:val="24"/>
                <w:highlight w:val="none"/>
              </w:rPr>
              <w:instrText xml:space="preserve"> = sum(E2:E7) \* MERGEFORMAT </w:instrText>
            </w:r>
            <w:r>
              <w:rPr>
                <w:rFonts w:hint="eastAsia" w:ascii="仿宋_GB2312" w:hAnsi="仿宋_GB2312" w:eastAsia="仿宋_GB2312" w:cs="仿宋_GB2312"/>
                <w:b/>
                <w:bCs/>
                <w:color w:val="auto"/>
                <w:sz w:val="24"/>
                <w:szCs w:val="24"/>
                <w:highlight w:val="none"/>
              </w:rPr>
              <w:fldChar w:fldCharType="separate"/>
            </w:r>
            <w:r>
              <w:rPr>
                <w:rFonts w:hint="eastAsia" w:ascii="仿宋_GB2312" w:hAnsi="仿宋_GB2312" w:eastAsia="仿宋_GB2312" w:cs="仿宋_GB2312"/>
                <w:b/>
                <w:bCs/>
                <w:color w:val="auto"/>
                <w:sz w:val="24"/>
                <w:szCs w:val="24"/>
                <w:highlight w:val="none"/>
              </w:rPr>
              <w:t>12</w:t>
            </w:r>
            <w:r>
              <w:rPr>
                <w:rFonts w:hint="eastAsia" w:ascii="仿宋_GB2312" w:hAnsi="仿宋_GB2312" w:eastAsia="仿宋_GB2312" w:cs="仿宋_GB2312"/>
                <w:b/>
                <w:bCs/>
                <w:color w:val="auto"/>
                <w:sz w:val="24"/>
                <w:szCs w:val="24"/>
                <w:highlight w:val="none"/>
              </w:rPr>
              <w:fldChar w:fldCharType="end"/>
            </w:r>
          </w:p>
        </w:tc>
        <w:tc>
          <w:tcPr>
            <w:tcW w:w="1082" w:type="dxa"/>
            <w:tcBorders>
              <w:right w:val="nil"/>
              <w:tl2br w:val="nil"/>
              <w:tr2bl w:val="nil"/>
            </w:tcBorders>
            <w:shd w:val="clear" w:color="auto" w:fill="auto"/>
            <w:noWrap w:val="0"/>
            <w:vAlign w:val="center"/>
          </w:tcPr>
          <w:p w14:paraId="0EDD790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11</w:t>
            </w:r>
          </w:p>
        </w:tc>
      </w:tr>
    </w:tbl>
    <w:p w14:paraId="6F5B011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1.项目立项方面</w:t>
      </w:r>
    </w:p>
    <w:p w14:paraId="50D4A1C8">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（1）立项依据充分性方面。项目的立项符合国家相关法律、法规和政策规定，符合国家财政专项资金支持方向，符合乡村振兴、国土空间治理、农业农村现代化及城乡融合发展</w:t>
      </w:r>
      <w:r>
        <w:rPr>
          <w:rFonts w:hint="default" w:ascii="仿宋_GB2312" w:hAnsi="仿宋_GB2312" w:eastAsia="仿宋_GB2312" w:cs="仿宋_GB2312"/>
          <w:color w:val="auto"/>
          <w:sz w:val="32"/>
          <w:szCs w:val="32"/>
          <w:highlight w:val="none"/>
          <w:lang w:val="en-US" w:eastAsia="zh-CN"/>
        </w:rPr>
        <w:t>事业</w:t>
      </w:r>
      <w:r>
        <w:rPr>
          <w:rFonts w:hint="eastAsia" w:ascii="仿宋_GB2312" w:hAnsi="仿宋_GB2312" w:eastAsia="仿宋_GB2312" w:cs="仿宋_GB2312"/>
          <w:color w:val="auto"/>
          <w:sz w:val="32"/>
          <w:szCs w:val="32"/>
          <w:highlight w:val="none"/>
          <w:lang w:val="en-US" w:eastAsia="zh-CN"/>
        </w:rPr>
        <w:t>的需要。</w:t>
      </w:r>
    </w:p>
    <w:p w14:paraId="2CD1C4FD">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（2）立项程序规范性方面。项目基本能按照规定的申请程序、审核程序、评估程序进行立项，程序规范。但项目实施方案不够明确。</w:t>
      </w:r>
    </w:p>
    <w:p w14:paraId="7F56C14A">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2.绩效目标方面</w:t>
      </w:r>
    </w:p>
    <w:p w14:paraId="36D677C9">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（1）绩效目标合理性方面。</w:t>
      </w:r>
      <w:r>
        <w:rPr>
          <w:rFonts w:hint="eastAsia" w:ascii="仿宋" w:hAnsi="仿宋" w:eastAsia="仿宋" w:cs="仿宋"/>
          <w:color w:val="auto"/>
          <w:sz w:val="32"/>
          <w:szCs w:val="32"/>
          <w:highlight w:val="none"/>
          <w:lang w:val="en-US" w:eastAsia="zh-CN"/>
        </w:rPr>
        <w:t>项目预期绩效目标符合国家相关法律法规和政策规定，主要目标能够在一定期限内如期实现。但部分绩效目标设置不够合理，</w:t>
      </w:r>
      <w:r>
        <w:rPr>
          <w:rFonts w:hint="eastAsia" w:ascii="仿宋_GB2312" w:hAnsi="仿宋_GB2312" w:eastAsia="仿宋_GB2312" w:cs="仿宋_GB2312"/>
          <w:color w:val="auto"/>
          <w:kern w:val="2"/>
          <w:sz w:val="32"/>
          <w:szCs w:val="32"/>
          <w:highlight w:val="none"/>
          <w:lang w:val="en-US" w:eastAsia="zh-CN" w:bidi="ar-SA"/>
        </w:rPr>
        <w:t>如时效指标设置为资金支出进度，不能反映项目实施的时间要求，设置不够明确、不够合理。</w:t>
      </w:r>
    </w:p>
    <w:p w14:paraId="3CE88272">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（2）绩效指标明确性方面。项目有预期绩效目标，但个别绩效指标设置</w:t>
      </w:r>
      <w:r>
        <w:rPr>
          <w:rFonts w:hint="eastAsia" w:ascii="仿宋_GB2312" w:hAnsi="仿宋_GB2312" w:eastAsia="仿宋_GB2312" w:cs="仿宋_GB2312"/>
          <w:color w:val="auto"/>
          <w:kern w:val="2"/>
          <w:sz w:val="32"/>
          <w:szCs w:val="32"/>
          <w:highlight w:val="none"/>
          <w:lang w:val="en-US" w:eastAsia="zh-CN" w:bidi="ar-SA"/>
        </w:rPr>
        <w:t>不够明确，</w:t>
      </w:r>
      <w:r>
        <w:rPr>
          <w:rFonts w:hint="eastAsia" w:ascii="仿宋" w:hAnsi="仿宋" w:eastAsia="仿宋" w:cs="仿宋"/>
          <w:color w:val="auto"/>
          <w:sz w:val="32"/>
          <w:szCs w:val="32"/>
          <w:highlight w:val="none"/>
          <w:lang w:val="en-US" w:eastAsia="zh-CN"/>
        </w:rPr>
        <w:t>如数量指标不够全面、经济指标、生态效益指标未设置。</w:t>
      </w:r>
    </w:p>
    <w:p w14:paraId="27869A62">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3.资金投入方面</w:t>
      </w:r>
    </w:p>
    <w:p w14:paraId="5CC403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52"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（1）预算编制科学性方面。</w:t>
      </w:r>
      <w:r>
        <w:rPr>
          <w:rFonts w:hint="eastAsia" w:ascii="仿宋" w:hAnsi="仿宋" w:eastAsia="仿宋" w:cs="仿宋"/>
          <w:spacing w:val="0"/>
          <w:sz w:val="31"/>
          <w:szCs w:val="31"/>
          <w:highlight w:val="none"/>
          <w:lang w:val="en-US" w:eastAsia="zh-CN"/>
        </w:rPr>
        <w:t>项目</w:t>
      </w:r>
      <w:r>
        <w:rPr>
          <w:rFonts w:hint="eastAsia" w:ascii="仿宋" w:hAnsi="仿宋" w:eastAsia="仿宋" w:cs="仿宋"/>
          <w:spacing w:val="0"/>
          <w:sz w:val="31"/>
          <w:szCs w:val="31"/>
          <w:highlight w:val="none"/>
        </w:rPr>
        <w:t>预算编制科学，预算内容与项目内容相匹配，</w:t>
      </w:r>
      <w:r>
        <w:rPr>
          <w:rFonts w:hint="eastAsia" w:ascii="仿宋" w:hAnsi="仿宋" w:eastAsia="仿宋" w:cs="仿宋"/>
          <w:spacing w:val="0"/>
          <w:sz w:val="31"/>
          <w:szCs w:val="31"/>
          <w:highlight w:val="none"/>
          <w:lang w:val="en-US" w:eastAsia="zh-CN"/>
        </w:rPr>
        <w:t>测算依据充分</w:t>
      </w:r>
    </w:p>
    <w:p w14:paraId="28980D7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color w:val="auto"/>
          <w:spacing w:val="0"/>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（2）资金分配合理性方面。</w:t>
      </w:r>
      <w:r>
        <w:rPr>
          <w:rFonts w:hint="eastAsia" w:ascii="仿宋" w:hAnsi="仿宋" w:eastAsia="仿宋" w:cs="仿宋"/>
          <w:color w:val="auto"/>
          <w:spacing w:val="0"/>
          <w:sz w:val="32"/>
          <w:szCs w:val="32"/>
          <w:highlight w:val="none"/>
          <w:lang w:val="en-US" w:eastAsia="zh-CN" w:bidi="ar-SA"/>
        </w:rPr>
        <w:t>项目资金</w:t>
      </w:r>
      <w:r>
        <w:rPr>
          <w:rFonts w:hint="eastAsia" w:ascii="仿宋" w:hAnsi="仿宋" w:eastAsia="仿宋" w:cs="仿宋"/>
          <w:color w:val="auto"/>
          <w:spacing w:val="0"/>
          <w:sz w:val="32"/>
          <w:szCs w:val="32"/>
          <w:highlight w:val="none"/>
          <w:lang w:val="en-US" w:eastAsia="zh-CN"/>
        </w:rPr>
        <w:t>分配依据充分，</w:t>
      </w:r>
      <w:r>
        <w:rPr>
          <w:rFonts w:hint="eastAsia" w:ascii="仿宋" w:hAnsi="仿宋" w:eastAsia="仿宋" w:cs="仿宋"/>
          <w:color w:val="auto"/>
          <w:spacing w:val="0"/>
          <w:sz w:val="32"/>
          <w:szCs w:val="32"/>
          <w:highlight w:val="none"/>
          <w:lang w:val="en-US" w:eastAsia="zh-CN" w:bidi="ar-SA"/>
        </w:rPr>
        <w:t>安排合理，资金额度与项目实际需求基本匹配。</w:t>
      </w:r>
    </w:p>
    <w:p w14:paraId="02D23DCA">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评价组认为，项目决策从整体上看，立项规范、决策依据较为充分，程序合规，符合相关政策，预算科学精准，分配合理。但项目绩效管理工作有待进一步加强。</w:t>
      </w:r>
    </w:p>
    <w:p w14:paraId="005D553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（二）项目过程情况</w:t>
      </w:r>
    </w:p>
    <w:p w14:paraId="0327CDE1">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项目过程从资金管理和组织实施两个方面进行评价。项目过程满分17分，得分15分。具体得分详见表9。</w:t>
      </w:r>
    </w:p>
    <w:p w14:paraId="479CD87D">
      <w:pPr>
        <w:pStyle w:val="10"/>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72" w:firstLineChars="200"/>
        <w:jc w:val="center"/>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表9  项目过程绩效指标分析表</w:t>
      </w:r>
    </w:p>
    <w:tbl>
      <w:tblPr>
        <w:tblStyle w:val="17"/>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812"/>
        <w:gridCol w:w="1563"/>
        <w:gridCol w:w="2660"/>
        <w:gridCol w:w="967"/>
        <w:gridCol w:w="1183"/>
      </w:tblGrid>
      <w:tr w14:paraId="7462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96" w:type="dxa"/>
            <w:tcBorders>
              <w:left w:val="nil"/>
              <w:tl2br w:val="nil"/>
              <w:tr2bl w:val="nil"/>
            </w:tcBorders>
            <w:shd w:val="clear" w:color="auto" w:fill="D7D7D7"/>
            <w:noWrap w:val="0"/>
            <w:vAlign w:val="center"/>
          </w:tcPr>
          <w:p w14:paraId="0118ED4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12" w:type="dxa"/>
            <w:tcBorders>
              <w:tl2br w:val="nil"/>
              <w:tr2bl w:val="nil"/>
            </w:tcBorders>
            <w:shd w:val="clear" w:color="auto" w:fill="D7D7D7"/>
            <w:noWrap w:val="0"/>
            <w:vAlign w:val="center"/>
          </w:tcPr>
          <w:p w14:paraId="6B3E92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563" w:type="dxa"/>
            <w:tcBorders>
              <w:tl2br w:val="nil"/>
              <w:tr2bl w:val="nil"/>
            </w:tcBorders>
            <w:shd w:val="clear" w:color="auto" w:fill="D7D7D7"/>
            <w:noWrap w:val="0"/>
            <w:vAlign w:val="center"/>
          </w:tcPr>
          <w:p w14:paraId="06B05E3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660" w:type="dxa"/>
            <w:tcBorders>
              <w:tl2br w:val="nil"/>
              <w:tr2bl w:val="nil"/>
            </w:tcBorders>
            <w:shd w:val="clear" w:color="auto" w:fill="D7D7D7"/>
            <w:noWrap w:val="0"/>
            <w:vAlign w:val="center"/>
          </w:tcPr>
          <w:p w14:paraId="138D8EB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967" w:type="dxa"/>
            <w:tcBorders>
              <w:tl2br w:val="nil"/>
              <w:tr2bl w:val="nil"/>
            </w:tcBorders>
            <w:shd w:val="clear" w:color="auto" w:fill="D7D7D7"/>
            <w:noWrap w:val="0"/>
            <w:vAlign w:val="center"/>
          </w:tcPr>
          <w:p w14:paraId="3067C36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1A467EA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39B3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96" w:type="dxa"/>
            <w:vMerge w:val="restart"/>
            <w:tcBorders>
              <w:left w:val="nil"/>
              <w:tl2br w:val="nil"/>
              <w:tr2bl w:val="nil"/>
            </w:tcBorders>
            <w:noWrap w:val="0"/>
            <w:vAlign w:val="center"/>
          </w:tcPr>
          <w:p w14:paraId="26301FE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过程</w:t>
            </w:r>
          </w:p>
        </w:tc>
        <w:tc>
          <w:tcPr>
            <w:tcW w:w="812" w:type="dxa"/>
            <w:vMerge w:val="restart"/>
            <w:tcBorders>
              <w:tl2br w:val="nil"/>
              <w:tr2bl w:val="nil"/>
            </w:tcBorders>
            <w:noWrap w:val="0"/>
            <w:vAlign w:val="center"/>
          </w:tcPr>
          <w:p w14:paraId="0F8A2C3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17</w:t>
            </w:r>
          </w:p>
        </w:tc>
        <w:tc>
          <w:tcPr>
            <w:tcW w:w="1563" w:type="dxa"/>
            <w:vMerge w:val="restart"/>
            <w:tcBorders>
              <w:tl2br w:val="nil"/>
              <w:tr2bl w:val="nil"/>
            </w:tcBorders>
            <w:noWrap w:val="0"/>
            <w:vAlign w:val="center"/>
          </w:tcPr>
          <w:p w14:paraId="346E10B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资金管理</w:t>
            </w:r>
          </w:p>
        </w:tc>
        <w:tc>
          <w:tcPr>
            <w:tcW w:w="2660" w:type="dxa"/>
            <w:tcBorders>
              <w:tl2br w:val="nil"/>
              <w:tr2bl w:val="nil"/>
            </w:tcBorders>
            <w:noWrap w:val="0"/>
            <w:vAlign w:val="center"/>
          </w:tcPr>
          <w:p w14:paraId="22C7A5A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资金到位率</w:t>
            </w:r>
          </w:p>
        </w:tc>
        <w:tc>
          <w:tcPr>
            <w:tcW w:w="967" w:type="dxa"/>
            <w:tcBorders>
              <w:tl2br w:val="nil"/>
              <w:tr2bl w:val="nil"/>
            </w:tcBorders>
            <w:noWrap w:val="0"/>
            <w:vAlign w:val="center"/>
          </w:tcPr>
          <w:p w14:paraId="2C06682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bottom w:val="single" w:color="000000" w:sz="4" w:space="0"/>
              <w:right w:val="nil"/>
              <w:tl2br w:val="nil"/>
              <w:tr2bl w:val="nil"/>
            </w:tcBorders>
            <w:noWrap w:val="0"/>
            <w:vAlign w:val="center"/>
          </w:tcPr>
          <w:p w14:paraId="54705F4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1497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96" w:type="dxa"/>
            <w:vMerge w:val="continue"/>
            <w:tcBorders>
              <w:left w:val="nil"/>
              <w:tl2br w:val="nil"/>
              <w:tr2bl w:val="nil"/>
            </w:tcBorders>
            <w:noWrap w:val="0"/>
            <w:vAlign w:val="center"/>
          </w:tcPr>
          <w:p w14:paraId="55ED623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17126E4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57BC172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2B165E2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预算执行率</w:t>
            </w:r>
          </w:p>
        </w:tc>
        <w:tc>
          <w:tcPr>
            <w:tcW w:w="967" w:type="dxa"/>
            <w:tcBorders>
              <w:tl2br w:val="nil"/>
              <w:tr2bl w:val="nil"/>
            </w:tcBorders>
            <w:noWrap w:val="0"/>
            <w:vAlign w:val="center"/>
          </w:tcPr>
          <w:p w14:paraId="1ACCF6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4C55042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7E875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96" w:type="dxa"/>
            <w:vMerge w:val="continue"/>
            <w:tcBorders>
              <w:left w:val="nil"/>
              <w:tl2br w:val="nil"/>
              <w:tr2bl w:val="nil"/>
            </w:tcBorders>
            <w:noWrap w:val="0"/>
            <w:vAlign w:val="center"/>
          </w:tcPr>
          <w:p w14:paraId="2EC7DD2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3206176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642143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642EB4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资金使用合规性</w:t>
            </w:r>
          </w:p>
        </w:tc>
        <w:tc>
          <w:tcPr>
            <w:tcW w:w="967" w:type="dxa"/>
            <w:tcBorders>
              <w:tl2br w:val="nil"/>
              <w:tr2bl w:val="nil"/>
            </w:tcBorders>
            <w:noWrap w:val="0"/>
            <w:vAlign w:val="center"/>
          </w:tcPr>
          <w:p w14:paraId="6EB8D3A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332371D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5BBD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96" w:type="dxa"/>
            <w:vMerge w:val="continue"/>
            <w:tcBorders>
              <w:left w:val="nil"/>
              <w:tl2br w:val="nil"/>
              <w:tr2bl w:val="nil"/>
            </w:tcBorders>
            <w:noWrap w:val="0"/>
            <w:vAlign w:val="center"/>
          </w:tcPr>
          <w:p w14:paraId="5671DD2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6A8DDAD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restart"/>
            <w:tcBorders>
              <w:tl2br w:val="nil"/>
              <w:tr2bl w:val="nil"/>
            </w:tcBorders>
            <w:noWrap w:val="0"/>
            <w:vAlign w:val="center"/>
          </w:tcPr>
          <w:p w14:paraId="76C2FD2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组织实施</w:t>
            </w:r>
          </w:p>
        </w:tc>
        <w:tc>
          <w:tcPr>
            <w:tcW w:w="2660" w:type="dxa"/>
            <w:tcBorders>
              <w:tl2br w:val="nil"/>
              <w:tr2bl w:val="nil"/>
            </w:tcBorders>
            <w:noWrap w:val="0"/>
            <w:vAlign w:val="center"/>
          </w:tcPr>
          <w:p w14:paraId="2273F77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管理制度健全性</w:t>
            </w:r>
          </w:p>
        </w:tc>
        <w:tc>
          <w:tcPr>
            <w:tcW w:w="967" w:type="dxa"/>
            <w:tcBorders>
              <w:tl2br w:val="nil"/>
              <w:tr2bl w:val="nil"/>
            </w:tcBorders>
            <w:noWrap w:val="0"/>
            <w:vAlign w:val="center"/>
          </w:tcPr>
          <w:p w14:paraId="71B791E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7C2F55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2.5</w:t>
            </w:r>
          </w:p>
        </w:tc>
      </w:tr>
      <w:tr w14:paraId="48E04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96" w:type="dxa"/>
            <w:vMerge w:val="continue"/>
            <w:tcBorders>
              <w:left w:val="nil"/>
              <w:tl2br w:val="nil"/>
              <w:tr2bl w:val="nil"/>
            </w:tcBorders>
            <w:noWrap w:val="0"/>
            <w:vAlign w:val="center"/>
          </w:tcPr>
          <w:p w14:paraId="55D2C23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51970B4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46B47CE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345243B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制度执行有效性</w:t>
            </w:r>
          </w:p>
        </w:tc>
        <w:tc>
          <w:tcPr>
            <w:tcW w:w="967" w:type="dxa"/>
            <w:tcBorders>
              <w:tl2br w:val="nil"/>
              <w:tr2bl w:val="nil"/>
            </w:tcBorders>
            <w:noWrap w:val="0"/>
            <w:vAlign w:val="center"/>
          </w:tcPr>
          <w:p w14:paraId="57DD34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5</w:t>
            </w:r>
          </w:p>
        </w:tc>
        <w:tc>
          <w:tcPr>
            <w:tcW w:w="1183" w:type="dxa"/>
            <w:tcBorders>
              <w:top w:val="single" w:color="000000" w:sz="4" w:space="0"/>
              <w:bottom w:val="single" w:color="000000" w:sz="4" w:space="0"/>
              <w:right w:val="nil"/>
              <w:tl2br w:val="nil"/>
              <w:tr2bl w:val="nil"/>
            </w:tcBorders>
            <w:noWrap w:val="0"/>
            <w:vAlign w:val="center"/>
          </w:tcPr>
          <w:p w14:paraId="39A5EAF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3.5</w:t>
            </w:r>
          </w:p>
        </w:tc>
      </w:tr>
      <w:tr w14:paraId="6FA4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1496" w:type="dxa"/>
            <w:tcBorders>
              <w:left w:val="nil"/>
              <w:tl2br w:val="nil"/>
              <w:tr2bl w:val="nil"/>
            </w:tcBorders>
            <w:noWrap w:val="0"/>
            <w:vAlign w:val="center"/>
          </w:tcPr>
          <w:p w14:paraId="7D02EE73">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合计</w:t>
            </w:r>
          </w:p>
        </w:tc>
        <w:tc>
          <w:tcPr>
            <w:tcW w:w="812" w:type="dxa"/>
            <w:tcBorders>
              <w:tl2br w:val="nil"/>
              <w:tr2bl w:val="nil"/>
            </w:tcBorders>
            <w:noWrap w:val="0"/>
            <w:vAlign w:val="center"/>
          </w:tcPr>
          <w:p w14:paraId="76B65FA4">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17</w:t>
            </w:r>
          </w:p>
        </w:tc>
        <w:tc>
          <w:tcPr>
            <w:tcW w:w="1563" w:type="dxa"/>
            <w:tcBorders>
              <w:tl2br w:val="nil"/>
              <w:tr2bl w:val="nil"/>
            </w:tcBorders>
            <w:noWrap w:val="0"/>
            <w:vAlign w:val="center"/>
          </w:tcPr>
          <w:p w14:paraId="263BA77D">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2660" w:type="dxa"/>
            <w:tcBorders>
              <w:tl2br w:val="nil"/>
              <w:tr2bl w:val="nil"/>
            </w:tcBorders>
            <w:noWrap w:val="0"/>
            <w:vAlign w:val="center"/>
          </w:tcPr>
          <w:p w14:paraId="6AB50BA4">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967" w:type="dxa"/>
            <w:tcBorders>
              <w:tl2br w:val="nil"/>
              <w:tr2bl w:val="nil"/>
            </w:tcBorders>
            <w:noWrap w:val="0"/>
            <w:vAlign w:val="center"/>
          </w:tcPr>
          <w:p w14:paraId="78ABF30F">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17</w:t>
            </w:r>
          </w:p>
        </w:tc>
        <w:tc>
          <w:tcPr>
            <w:tcW w:w="1183" w:type="dxa"/>
            <w:tcBorders>
              <w:right w:val="nil"/>
              <w:tl2br w:val="nil"/>
              <w:tr2bl w:val="nil"/>
            </w:tcBorders>
            <w:noWrap w:val="0"/>
            <w:vAlign w:val="center"/>
          </w:tcPr>
          <w:p w14:paraId="58DFF724">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fldChar w:fldCharType="begin"/>
            </w:r>
            <w:r>
              <w:rPr>
                <w:rFonts w:hint="eastAsia" w:ascii="仿宋_GB2312" w:hAnsi="仿宋_GB2312" w:eastAsia="仿宋_GB2312" w:cs="仿宋_GB2312"/>
                <w:b/>
                <w:bCs/>
                <w:i w:val="0"/>
                <w:iCs w:val="0"/>
                <w:color w:val="000000"/>
                <w:kern w:val="0"/>
                <w:sz w:val="24"/>
                <w:szCs w:val="24"/>
                <w:highlight w:val="none"/>
                <w:u w:val="none"/>
                <w:lang w:val="en-US" w:eastAsia="zh-CN" w:bidi="ar"/>
              </w:rPr>
              <w:instrText xml:space="preserve"> = sum(F2:F6) \* MERGEFORMAT </w:instrText>
            </w:r>
            <w:r>
              <w:rPr>
                <w:rFonts w:hint="eastAsia" w:ascii="仿宋_GB2312" w:hAnsi="仿宋_GB2312" w:eastAsia="仿宋_GB2312" w:cs="仿宋_GB2312"/>
                <w:b/>
                <w:bCs/>
                <w:i w:val="0"/>
                <w:iCs w:val="0"/>
                <w:color w:val="000000"/>
                <w:kern w:val="0"/>
                <w:sz w:val="24"/>
                <w:szCs w:val="24"/>
                <w:highlight w:val="none"/>
                <w:u w:val="none"/>
                <w:lang w:val="en-US" w:eastAsia="zh-CN" w:bidi="ar"/>
              </w:rPr>
              <w:fldChar w:fldCharType="separate"/>
            </w:r>
            <w:r>
              <w:rPr>
                <w:rFonts w:hint="eastAsia" w:ascii="仿宋_GB2312" w:hAnsi="仿宋_GB2312" w:eastAsia="仿宋_GB2312" w:cs="仿宋_GB2312"/>
                <w:b/>
                <w:bCs/>
                <w:i w:val="0"/>
                <w:iCs w:val="0"/>
                <w:color w:val="000000"/>
                <w:kern w:val="0"/>
                <w:sz w:val="24"/>
                <w:szCs w:val="24"/>
                <w:highlight w:val="none"/>
                <w:u w:val="none"/>
                <w:lang w:val="en-US" w:eastAsia="zh-CN" w:bidi="ar"/>
              </w:rPr>
              <w:t>1</w:t>
            </w:r>
            <w:r>
              <w:rPr>
                <w:rFonts w:hint="eastAsia" w:ascii="仿宋_GB2312" w:hAnsi="仿宋_GB2312" w:eastAsia="仿宋_GB2312" w:cs="仿宋_GB2312"/>
                <w:b/>
                <w:bCs/>
                <w:i w:val="0"/>
                <w:iCs w:val="0"/>
                <w:color w:val="000000"/>
                <w:kern w:val="0"/>
                <w:sz w:val="24"/>
                <w:szCs w:val="24"/>
                <w:highlight w:val="none"/>
                <w:u w:val="none"/>
                <w:lang w:val="en-US" w:eastAsia="zh-CN" w:bidi="ar"/>
              </w:rPr>
              <w:fldChar w:fldCharType="end"/>
            </w:r>
            <w:r>
              <w:rPr>
                <w:rFonts w:hint="eastAsia" w:ascii="仿宋_GB2312" w:hAnsi="仿宋_GB2312" w:eastAsia="仿宋_GB2312" w:cs="仿宋_GB2312"/>
                <w:b/>
                <w:bCs/>
                <w:i w:val="0"/>
                <w:iCs w:val="0"/>
                <w:color w:val="000000"/>
                <w:kern w:val="0"/>
                <w:sz w:val="24"/>
                <w:szCs w:val="24"/>
                <w:highlight w:val="none"/>
                <w:u w:val="none"/>
                <w:lang w:val="en-US" w:eastAsia="zh-CN" w:bidi="ar"/>
              </w:rPr>
              <w:t>5</w:t>
            </w:r>
          </w:p>
        </w:tc>
      </w:tr>
    </w:tbl>
    <w:p w14:paraId="4F2726C9">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1.资金管理方面</w:t>
      </w:r>
    </w:p>
    <w:p w14:paraId="7336AC55">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（1）资金到位率方面。项目预算资金500.00万元，到位资金500.00万元，</w:t>
      </w:r>
      <w:r>
        <w:rPr>
          <w:rFonts w:hint="eastAsia" w:ascii="仿宋_GB2312" w:hAnsi="仿宋_GB2312" w:eastAsia="仿宋_GB2312" w:cs="仿宋_GB2312"/>
          <w:color w:val="auto"/>
          <w:sz w:val="32"/>
          <w:szCs w:val="32"/>
        </w:rPr>
        <w:t>资金到位率为</w:t>
      </w:r>
      <w:r>
        <w:rPr>
          <w:rFonts w:hint="eastAsia" w:ascii="仿宋_GB2312" w:hAnsi="仿宋_GB2312" w:eastAsia="仿宋_GB2312" w:cs="仿宋_GB2312"/>
          <w:color w:val="auto"/>
          <w:kern w:val="2"/>
          <w:sz w:val="32"/>
          <w:szCs w:val="32"/>
          <w:highlight w:val="none"/>
          <w:lang w:val="en-US" w:eastAsia="zh-CN" w:bidi="ar-SA"/>
        </w:rPr>
        <w:t>100%</w:t>
      </w:r>
      <w:r>
        <w:rPr>
          <w:rFonts w:hint="eastAsia" w:ascii="仿宋_GB2312" w:hAnsi="仿宋_GB2312" w:eastAsia="仿宋_GB2312" w:cs="仿宋_GB2312"/>
          <w:color w:val="auto"/>
          <w:sz w:val="32"/>
          <w:szCs w:val="32"/>
          <w:highlight w:val="none"/>
          <w:lang w:val="en-US" w:eastAsia="zh-CN"/>
        </w:rPr>
        <w:t>。</w:t>
      </w:r>
    </w:p>
    <w:p w14:paraId="2ED5A30D">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kern w:val="2"/>
          <w:sz w:val="32"/>
          <w:szCs w:val="32"/>
          <w:highlight w:val="yellow"/>
          <w:lang w:val="en-US" w:eastAsia="zh-CN" w:bidi="ar-SA"/>
        </w:rPr>
      </w:pPr>
      <w:r>
        <w:rPr>
          <w:rFonts w:hint="eastAsia" w:ascii="仿宋_GB2312" w:hAnsi="仿宋_GB2312" w:eastAsia="仿宋_GB2312" w:cs="仿宋_GB2312"/>
          <w:color w:val="auto"/>
          <w:sz w:val="32"/>
          <w:szCs w:val="32"/>
          <w:highlight w:val="none"/>
          <w:lang w:val="en-US" w:eastAsia="zh-CN"/>
        </w:rPr>
        <w:t>（2）预算执行率方面。</w:t>
      </w:r>
      <w:r>
        <w:rPr>
          <w:rFonts w:hint="default" w:ascii="仿宋_GB2312" w:hAnsi="仿宋_GB2312" w:eastAsia="仿宋_GB2312" w:cs="仿宋_GB2312"/>
          <w:spacing w:val="-6"/>
          <w:kern w:val="2"/>
          <w:sz w:val="32"/>
          <w:szCs w:val="32"/>
          <w:highlight w:val="none"/>
          <w:lang w:val="en-US" w:eastAsia="zh-CN" w:bidi="ar-SA"/>
        </w:rPr>
        <w:t>截至</w:t>
      </w:r>
      <w:r>
        <w:rPr>
          <w:rFonts w:hint="eastAsia" w:ascii="仿宋_GB2312" w:hAnsi="仿宋_GB2312" w:eastAsia="仿宋_GB2312" w:cs="仿宋_GB2312"/>
          <w:spacing w:val="-6"/>
          <w:kern w:val="2"/>
          <w:sz w:val="32"/>
          <w:szCs w:val="32"/>
          <w:highlight w:val="none"/>
          <w:lang w:val="en-US" w:eastAsia="zh-CN" w:bidi="ar-SA"/>
        </w:rPr>
        <w:t>评价日，</w:t>
      </w:r>
      <w:r>
        <w:rPr>
          <w:rFonts w:ascii="仿宋_GB2312" w:hAnsi="仿宋_GB2312" w:eastAsia="仿宋_GB2312" w:cs="仿宋_GB2312"/>
          <w:kern w:val="2"/>
          <w:sz w:val="32"/>
          <w:szCs w:val="32"/>
          <w:lang w:bidi="ar-SA"/>
        </w:rPr>
        <w:t>项目单位2024年实际到位的预算资金为</w:t>
      </w:r>
      <w:r>
        <w:rPr>
          <w:rFonts w:hint="eastAsia" w:ascii="仿宋_GB2312" w:hAnsi="仿宋_GB2312" w:eastAsia="仿宋_GB2312" w:cs="仿宋_GB2312"/>
          <w:kern w:val="2"/>
          <w:sz w:val="32"/>
          <w:szCs w:val="32"/>
          <w:lang w:bidi="ar-SA"/>
        </w:rPr>
        <w:t>5,000,000.00</w:t>
      </w:r>
      <w:r>
        <w:rPr>
          <w:rFonts w:ascii="仿宋_GB2312" w:hAnsi="仿宋_GB2312" w:eastAsia="仿宋_GB2312" w:cs="仿宋_GB2312"/>
          <w:kern w:val="2"/>
          <w:sz w:val="32"/>
          <w:szCs w:val="32"/>
          <w:lang w:bidi="ar-SA"/>
        </w:rPr>
        <w:t>元，实际执行资金</w:t>
      </w:r>
      <w:r>
        <w:rPr>
          <w:rFonts w:hint="eastAsia" w:ascii="仿宋_GB2312" w:hAnsi="仿宋_GB2312" w:eastAsia="仿宋_GB2312" w:cs="仿宋_GB2312"/>
          <w:kern w:val="2"/>
          <w:sz w:val="32"/>
          <w:szCs w:val="32"/>
          <w:lang w:val="en-US" w:eastAsia="zh-CN" w:bidi="ar-SA"/>
        </w:rPr>
        <w:t>约</w:t>
      </w:r>
      <w:r>
        <w:rPr>
          <w:rFonts w:ascii="仿宋_GB2312" w:hAnsi="仿宋_GB2312" w:eastAsia="仿宋_GB2312" w:cs="仿宋_GB2312"/>
          <w:kern w:val="2"/>
          <w:sz w:val="32"/>
          <w:szCs w:val="32"/>
          <w:lang w:bidi="ar-SA"/>
        </w:rPr>
        <w:t>为</w:t>
      </w:r>
      <w:r>
        <w:rPr>
          <w:rFonts w:hint="eastAsia" w:ascii="仿宋_GB2312" w:hAnsi="仿宋_GB2312" w:eastAsia="仿宋_GB2312" w:cs="仿宋_GB2312"/>
          <w:kern w:val="2"/>
          <w:sz w:val="32"/>
          <w:szCs w:val="32"/>
          <w:lang w:bidi="ar-SA"/>
        </w:rPr>
        <w:t>4,999,999.99</w:t>
      </w:r>
      <w:r>
        <w:rPr>
          <w:rFonts w:ascii="仿宋_GB2312" w:hAnsi="仿宋_GB2312" w:eastAsia="仿宋_GB2312" w:cs="仿宋_GB2312"/>
          <w:kern w:val="2"/>
          <w:sz w:val="32"/>
          <w:szCs w:val="32"/>
          <w:lang w:bidi="ar-SA"/>
        </w:rPr>
        <w:t>元</w:t>
      </w:r>
      <w:r>
        <w:rPr>
          <w:rFonts w:hint="eastAsia" w:ascii="仿宋_GB2312" w:hAnsi="仿宋_GB2312" w:eastAsia="仿宋_GB2312" w:cs="仿宋_GB2312"/>
          <w:kern w:val="2"/>
          <w:sz w:val="32"/>
          <w:szCs w:val="32"/>
          <w:lang w:eastAsia="zh-CN" w:bidi="ar-SA"/>
        </w:rPr>
        <w:t>，</w:t>
      </w:r>
      <w:r>
        <w:rPr>
          <w:rFonts w:ascii="仿宋_GB2312" w:hAnsi="仿宋_GB2312" w:eastAsia="仿宋_GB2312" w:cs="仿宋_GB2312"/>
          <w:kern w:val="2"/>
          <w:sz w:val="32"/>
          <w:szCs w:val="32"/>
          <w:lang w:bidi="ar-SA"/>
        </w:rPr>
        <w:t>预算执行率为</w:t>
      </w:r>
      <w:r>
        <w:rPr>
          <w:rFonts w:hint="eastAsia" w:ascii="仿宋_GB2312" w:hAnsi="仿宋_GB2312" w:eastAsia="仿宋_GB2312" w:cs="仿宋_GB2312"/>
          <w:kern w:val="2"/>
          <w:sz w:val="32"/>
          <w:szCs w:val="32"/>
          <w:lang w:val="en-US" w:eastAsia="zh-CN" w:bidi="ar-SA"/>
        </w:rPr>
        <w:t>100</w:t>
      </w:r>
      <w:r>
        <w:rPr>
          <w:rFonts w:ascii="仿宋_GB2312" w:hAnsi="仿宋_GB2312" w:eastAsia="仿宋_GB2312" w:cs="仿宋_GB2312"/>
          <w:kern w:val="2"/>
          <w:sz w:val="32"/>
          <w:szCs w:val="32"/>
          <w:lang w:bidi="ar-SA"/>
        </w:rPr>
        <w:t>%。</w:t>
      </w:r>
    </w:p>
    <w:p w14:paraId="2B554CB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（3）资金使用合规性方面。项目资金支出符合国家有关政策及专项资金管理办法等相关规定，手续齐全，未发现资金截留、挤占、挪用、虚列支出等现象。</w:t>
      </w:r>
    </w:p>
    <w:p w14:paraId="29F2238B">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2.组织实施方面</w:t>
      </w:r>
    </w:p>
    <w:p w14:paraId="5AF54357">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（1）管理制度健全性方面。项目单位有相关管理制度，制度规范、健全。但</w:t>
      </w:r>
      <w:r>
        <w:rPr>
          <w:rFonts w:hint="default" w:ascii="仿宋_GB2312" w:hAnsi="仿宋_GB2312" w:eastAsia="仿宋_GB2312" w:cs="仿宋_GB2312"/>
          <w:color w:val="auto"/>
          <w:sz w:val="32"/>
          <w:szCs w:val="32"/>
          <w:highlight w:val="none"/>
          <w:lang w:val="en-US" w:eastAsia="zh-CN"/>
        </w:rPr>
        <w:t>未结合项目特点与实际需求，制定具体详实的规划实施监督评估、成果验收归档等制度。</w:t>
      </w:r>
    </w:p>
    <w:p w14:paraId="4F7D09E6">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（2）制度执行有效性方面。</w:t>
      </w:r>
      <w:r>
        <w:rPr>
          <w:rFonts w:hint="eastAsia" w:ascii="仿宋_GB2312" w:hAnsi="仿宋_GB2312" w:eastAsia="仿宋_GB2312" w:cs="仿宋_GB2312"/>
          <w:sz w:val="32"/>
          <w:szCs w:val="32"/>
        </w:rPr>
        <w:t>项目单位能够遵守相关法律法规及各项管理规定，项目支出手续基</w:t>
      </w:r>
      <w:r>
        <w:rPr>
          <w:rFonts w:hint="eastAsia" w:ascii="仿宋_GB2312" w:hAnsi="仿宋_GB2312" w:eastAsia="仿宋_GB2312" w:cs="仿宋_GB2312"/>
          <w:kern w:val="2"/>
          <w:sz w:val="32"/>
          <w:szCs w:val="32"/>
          <w:highlight w:val="none"/>
          <w:lang w:val="en-US" w:eastAsia="zh-CN" w:bidi="ar-SA"/>
        </w:rPr>
        <w:t>本完备，项目实施过程资料也较为齐全。但合同签订不够规范，如：扶风县2024年村庄规划编制项目7个标段的合同均未明确合同签订日期，而合同中却约定编制周期为自合同签订之日起90个日历天，导致项目完成时限无法准确判定；</w:t>
      </w:r>
      <w:r>
        <w:rPr>
          <w:rFonts w:hint="eastAsia" w:ascii="仿宋_GB2312" w:hAnsi="仿宋_GB2312" w:eastAsia="仿宋_GB2312" w:cs="仿宋_GB2312"/>
          <w:color w:val="auto"/>
          <w:sz w:val="32"/>
          <w:szCs w:val="32"/>
          <w:highlight w:val="none"/>
          <w:lang w:val="en-US" w:eastAsia="zh-CN"/>
        </w:rPr>
        <w:t>项目总结、自评等工作不够规范、内容不够详实。</w:t>
      </w:r>
    </w:p>
    <w:p w14:paraId="726D6912">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评价组认为，项目过程从整体上看，项目资金管理较规范，相关制度较齐全，资金使用合规，预算资金执行率较高。但仍存在制度执行不到位，项目自评及信息采集工作不够规范等问题。</w:t>
      </w:r>
    </w:p>
    <w:p w14:paraId="10E12CD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（三）项目成本情况</w:t>
      </w:r>
    </w:p>
    <w:p w14:paraId="117D4F6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b w:val="0"/>
          <w:bCs w:val="0"/>
          <w:color w:val="auto"/>
          <w:sz w:val="32"/>
          <w:szCs w:val="32"/>
          <w:highlight w:val="none"/>
        </w:rPr>
      </w:pPr>
      <w:r>
        <w:rPr>
          <w:rFonts w:hint="eastAsia" w:ascii="仿宋_GB2312" w:hAnsi="仿宋_GB2312" w:eastAsia="仿宋_GB2312" w:cs="仿宋_GB2312"/>
          <w:color w:val="auto"/>
          <w:sz w:val="32"/>
          <w:szCs w:val="32"/>
          <w:highlight w:val="none"/>
          <w:lang w:val="en-US" w:eastAsia="zh-CN"/>
        </w:rPr>
        <w:t>项目成本从经济成本、社会成本、生态环境成本三个方面进行评价。项目成本满分11分，得分11分。具体得分详见表10。</w:t>
      </w:r>
    </w:p>
    <w:p w14:paraId="0ED6BA2F">
      <w:pPr>
        <w:pStyle w:val="10"/>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72" w:firstLineChars="200"/>
        <w:jc w:val="center"/>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表10  项目成本绩效指标分析表</w:t>
      </w:r>
    </w:p>
    <w:tbl>
      <w:tblPr>
        <w:tblStyle w:val="17"/>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700"/>
        <w:gridCol w:w="1720"/>
        <w:gridCol w:w="3309"/>
        <w:gridCol w:w="784"/>
        <w:gridCol w:w="972"/>
      </w:tblGrid>
      <w:tr w14:paraId="33C20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96" w:type="dxa"/>
            <w:tcBorders>
              <w:left w:val="nil"/>
              <w:tl2br w:val="nil"/>
              <w:tr2bl w:val="nil"/>
            </w:tcBorders>
            <w:shd w:val="clear" w:color="auto" w:fill="D7D7D7"/>
            <w:noWrap w:val="0"/>
            <w:vAlign w:val="center"/>
          </w:tcPr>
          <w:p w14:paraId="3E67C6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700" w:type="dxa"/>
            <w:tcBorders>
              <w:tl2br w:val="nil"/>
              <w:tr2bl w:val="nil"/>
            </w:tcBorders>
            <w:shd w:val="clear" w:color="auto" w:fill="D7D7D7"/>
            <w:noWrap w:val="0"/>
            <w:vAlign w:val="center"/>
          </w:tcPr>
          <w:p w14:paraId="4F3D181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720" w:type="dxa"/>
            <w:tcBorders>
              <w:tl2br w:val="nil"/>
              <w:tr2bl w:val="nil"/>
            </w:tcBorders>
            <w:shd w:val="clear" w:color="auto" w:fill="D7D7D7"/>
            <w:noWrap w:val="0"/>
            <w:vAlign w:val="center"/>
          </w:tcPr>
          <w:p w14:paraId="1023693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3309" w:type="dxa"/>
            <w:tcBorders>
              <w:tl2br w:val="nil"/>
              <w:tr2bl w:val="nil"/>
            </w:tcBorders>
            <w:shd w:val="clear" w:color="auto" w:fill="D7D7D7"/>
            <w:noWrap w:val="0"/>
            <w:vAlign w:val="center"/>
          </w:tcPr>
          <w:p w14:paraId="20267A3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784" w:type="dxa"/>
            <w:tcBorders>
              <w:tl2br w:val="nil"/>
              <w:tr2bl w:val="nil"/>
            </w:tcBorders>
            <w:shd w:val="clear" w:color="auto" w:fill="D7D7D7"/>
            <w:noWrap w:val="0"/>
            <w:vAlign w:val="center"/>
          </w:tcPr>
          <w:p w14:paraId="0159A39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972" w:type="dxa"/>
            <w:tcBorders>
              <w:right w:val="nil"/>
              <w:tl2br w:val="nil"/>
              <w:tr2bl w:val="nil"/>
            </w:tcBorders>
            <w:shd w:val="clear" w:color="auto" w:fill="D7D7D7"/>
            <w:noWrap w:val="0"/>
            <w:vAlign w:val="center"/>
          </w:tcPr>
          <w:p w14:paraId="4DFCC92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6B4B0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196" w:type="dxa"/>
            <w:vMerge w:val="restart"/>
            <w:tcBorders>
              <w:left w:val="nil"/>
              <w:tl2br w:val="nil"/>
              <w:tr2bl w:val="nil"/>
            </w:tcBorders>
            <w:noWrap w:val="0"/>
            <w:vAlign w:val="center"/>
          </w:tcPr>
          <w:p w14:paraId="137F10B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成本</w:t>
            </w:r>
          </w:p>
        </w:tc>
        <w:tc>
          <w:tcPr>
            <w:tcW w:w="700" w:type="dxa"/>
            <w:vMerge w:val="restart"/>
            <w:tcBorders>
              <w:tl2br w:val="nil"/>
              <w:tr2bl w:val="nil"/>
            </w:tcBorders>
            <w:noWrap w:val="0"/>
            <w:vAlign w:val="center"/>
          </w:tcPr>
          <w:p w14:paraId="6960E59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11</w:t>
            </w:r>
          </w:p>
        </w:tc>
        <w:tc>
          <w:tcPr>
            <w:tcW w:w="1720" w:type="dxa"/>
            <w:tcBorders>
              <w:tl2br w:val="nil"/>
              <w:tr2bl w:val="nil"/>
            </w:tcBorders>
            <w:noWrap w:val="0"/>
            <w:vAlign w:val="center"/>
          </w:tcPr>
          <w:p w14:paraId="619C60A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经济成本</w:t>
            </w:r>
          </w:p>
        </w:tc>
        <w:tc>
          <w:tcPr>
            <w:tcW w:w="3309" w:type="dxa"/>
            <w:tcBorders>
              <w:tl2br w:val="nil"/>
              <w:tr2bl w:val="nil"/>
            </w:tcBorders>
            <w:noWrap w:val="0"/>
            <w:vAlign w:val="center"/>
          </w:tcPr>
          <w:p w14:paraId="2C468526">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单位成本或分项成本节约率</w:t>
            </w:r>
          </w:p>
        </w:tc>
        <w:tc>
          <w:tcPr>
            <w:tcW w:w="784" w:type="dxa"/>
            <w:tcBorders>
              <w:tl2br w:val="nil"/>
              <w:tr2bl w:val="nil"/>
            </w:tcBorders>
            <w:noWrap w:val="0"/>
            <w:vAlign w:val="center"/>
          </w:tcPr>
          <w:p w14:paraId="26CA05F6">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972" w:type="dxa"/>
            <w:tcBorders>
              <w:bottom w:val="single" w:color="000000" w:sz="4" w:space="0"/>
              <w:right w:val="nil"/>
              <w:tl2br w:val="nil"/>
              <w:tr2bl w:val="nil"/>
            </w:tcBorders>
            <w:noWrap w:val="0"/>
            <w:vAlign w:val="center"/>
          </w:tcPr>
          <w:p w14:paraId="1D593BB1">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r>
      <w:tr w14:paraId="73D7A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196" w:type="dxa"/>
            <w:vMerge w:val="continue"/>
            <w:tcBorders>
              <w:left w:val="nil"/>
              <w:tl2br w:val="nil"/>
              <w:tr2bl w:val="nil"/>
            </w:tcBorders>
            <w:noWrap w:val="0"/>
            <w:vAlign w:val="center"/>
          </w:tcPr>
          <w:p w14:paraId="50705CB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700" w:type="dxa"/>
            <w:vMerge w:val="continue"/>
            <w:tcBorders>
              <w:tl2br w:val="nil"/>
              <w:tr2bl w:val="nil"/>
            </w:tcBorders>
            <w:noWrap w:val="0"/>
            <w:vAlign w:val="center"/>
          </w:tcPr>
          <w:p w14:paraId="0CFD3B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720" w:type="dxa"/>
            <w:tcBorders>
              <w:tl2br w:val="nil"/>
              <w:tr2bl w:val="nil"/>
            </w:tcBorders>
            <w:noWrap w:val="0"/>
            <w:vAlign w:val="center"/>
          </w:tcPr>
          <w:p w14:paraId="0806247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社会成本</w:t>
            </w:r>
          </w:p>
        </w:tc>
        <w:tc>
          <w:tcPr>
            <w:tcW w:w="3309" w:type="dxa"/>
            <w:tcBorders>
              <w:tl2br w:val="nil"/>
              <w:tr2bl w:val="nil"/>
            </w:tcBorders>
            <w:noWrap w:val="0"/>
            <w:vAlign w:val="center"/>
          </w:tcPr>
          <w:p w14:paraId="22D11C8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公众支持和认可情况</w:t>
            </w:r>
          </w:p>
        </w:tc>
        <w:tc>
          <w:tcPr>
            <w:tcW w:w="784" w:type="dxa"/>
            <w:tcBorders>
              <w:tl2br w:val="nil"/>
              <w:tr2bl w:val="nil"/>
            </w:tcBorders>
            <w:noWrap w:val="0"/>
            <w:vAlign w:val="center"/>
          </w:tcPr>
          <w:p w14:paraId="07C666B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972" w:type="dxa"/>
            <w:tcBorders>
              <w:top w:val="single" w:color="000000" w:sz="4" w:space="0"/>
              <w:bottom w:val="single" w:color="000000" w:sz="4" w:space="0"/>
              <w:right w:val="nil"/>
              <w:tl2br w:val="nil"/>
              <w:tr2bl w:val="nil"/>
            </w:tcBorders>
            <w:noWrap w:val="0"/>
            <w:vAlign w:val="center"/>
          </w:tcPr>
          <w:p w14:paraId="157439D8">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r>
      <w:tr w14:paraId="79F8C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96" w:type="dxa"/>
            <w:vMerge w:val="continue"/>
            <w:tcBorders>
              <w:left w:val="nil"/>
              <w:tl2br w:val="nil"/>
              <w:tr2bl w:val="nil"/>
            </w:tcBorders>
            <w:noWrap w:val="0"/>
            <w:vAlign w:val="center"/>
          </w:tcPr>
          <w:p w14:paraId="23525F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p>
        </w:tc>
        <w:tc>
          <w:tcPr>
            <w:tcW w:w="700" w:type="dxa"/>
            <w:vMerge w:val="continue"/>
            <w:tcBorders>
              <w:tl2br w:val="nil"/>
              <w:tr2bl w:val="nil"/>
            </w:tcBorders>
            <w:noWrap w:val="0"/>
            <w:vAlign w:val="center"/>
          </w:tcPr>
          <w:p w14:paraId="290E9A8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p>
        </w:tc>
        <w:tc>
          <w:tcPr>
            <w:tcW w:w="1720" w:type="dxa"/>
            <w:tcBorders>
              <w:tl2br w:val="nil"/>
              <w:tr2bl w:val="nil"/>
            </w:tcBorders>
            <w:noWrap w:val="0"/>
            <w:vAlign w:val="center"/>
          </w:tcPr>
          <w:p w14:paraId="68A93EF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生态环境成本</w:t>
            </w:r>
          </w:p>
        </w:tc>
        <w:tc>
          <w:tcPr>
            <w:tcW w:w="3309" w:type="dxa"/>
            <w:tcBorders>
              <w:tl2br w:val="nil"/>
              <w:tr2bl w:val="nil"/>
            </w:tcBorders>
            <w:noWrap w:val="0"/>
            <w:vAlign w:val="center"/>
          </w:tcPr>
          <w:p w14:paraId="238286CF">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自然生态环境负作用</w:t>
            </w:r>
          </w:p>
        </w:tc>
        <w:tc>
          <w:tcPr>
            <w:tcW w:w="784" w:type="dxa"/>
            <w:tcBorders>
              <w:tl2br w:val="nil"/>
              <w:tr2bl w:val="nil"/>
            </w:tcBorders>
            <w:noWrap w:val="0"/>
            <w:vAlign w:val="center"/>
          </w:tcPr>
          <w:p w14:paraId="1D866D7A">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972" w:type="dxa"/>
            <w:tcBorders>
              <w:top w:val="single" w:color="000000" w:sz="4" w:space="0"/>
              <w:right w:val="nil"/>
              <w:tl2br w:val="nil"/>
              <w:tr2bl w:val="nil"/>
            </w:tcBorders>
            <w:noWrap w:val="0"/>
            <w:vAlign w:val="center"/>
          </w:tcPr>
          <w:p w14:paraId="50DA3C7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r>
      <w:tr w14:paraId="582E7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4" w:hRule="atLeast"/>
        </w:trPr>
        <w:tc>
          <w:tcPr>
            <w:tcW w:w="1196" w:type="dxa"/>
            <w:tcBorders>
              <w:left w:val="nil"/>
              <w:tl2br w:val="nil"/>
              <w:tr2bl w:val="nil"/>
            </w:tcBorders>
            <w:noWrap w:val="0"/>
            <w:vAlign w:val="center"/>
          </w:tcPr>
          <w:p w14:paraId="7E20809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700" w:type="dxa"/>
            <w:tcBorders>
              <w:tl2br w:val="nil"/>
              <w:tr2bl w:val="nil"/>
            </w:tcBorders>
            <w:noWrap w:val="0"/>
            <w:vAlign w:val="center"/>
          </w:tcPr>
          <w:p w14:paraId="5436141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11</w:t>
            </w:r>
          </w:p>
        </w:tc>
        <w:tc>
          <w:tcPr>
            <w:tcW w:w="1720" w:type="dxa"/>
            <w:tcBorders>
              <w:tl2br w:val="nil"/>
              <w:tr2bl w:val="nil"/>
            </w:tcBorders>
            <w:noWrap w:val="0"/>
            <w:vAlign w:val="center"/>
          </w:tcPr>
          <w:p w14:paraId="1E0DFA4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3309" w:type="dxa"/>
            <w:tcBorders>
              <w:tl2br w:val="nil"/>
              <w:tr2bl w:val="nil"/>
            </w:tcBorders>
            <w:noWrap w:val="0"/>
            <w:vAlign w:val="center"/>
          </w:tcPr>
          <w:p w14:paraId="530588F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784" w:type="dxa"/>
            <w:tcBorders>
              <w:tl2br w:val="nil"/>
              <w:tr2bl w:val="nil"/>
            </w:tcBorders>
            <w:noWrap w:val="0"/>
            <w:vAlign w:val="center"/>
          </w:tcPr>
          <w:p w14:paraId="733FD9E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sum(E2:E5)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11</w:t>
            </w:r>
            <w:r>
              <w:rPr>
                <w:rFonts w:hint="eastAsia" w:ascii="仿宋_GB2312" w:hAnsi="仿宋_GB2312" w:eastAsia="仿宋_GB2312" w:cs="仿宋_GB2312"/>
                <w:b/>
                <w:bCs/>
                <w:color w:val="auto"/>
                <w:sz w:val="24"/>
                <w:szCs w:val="24"/>
                <w:highlight w:val="none"/>
                <w:lang w:val="en-US" w:eastAsia="zh-CN"/>
              </w:rPr>
              <w:fldChar w:fldCharType="end"/>
            </w:r>
          </w:p>
        </w:tc>
        <w:tc>
          <w:tcPr>
            <w:tcW w:w="972" w:type="dxa"/>
            <w:tcBorders>
              <w:right w:val="nil"/>
              <w:tl2br w:val="nil"/>
              <w:tr2bl w:val="nil"/>
            </w:tcBorders>
            <w:noWrap w:val="0"/>
            <w:vAlign w:val="center"/>
          </w:tcPr>
          <w:p w14:paraId="240A3D8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sum(F2:F5)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11</w:t>
            </w:r>
            <w:r>
              <w:rPr>
                <w:rFonts w:hint="eastAsia" w:ascii="仿宋_GB2312" w:hAnsi="仿宋_GB2312" w:eastAsia="仿宋_GB2312" w:cs="仿宋_GB2312"/>
                <w:b/>
                <w:bCs/>
                <w:color w:val="auto"/>
                <w:sz w:val="24"/>
                <w:szCs w:val="24"/>
                <w:highlight w:val="none"/>
                <w:lang w:val="en-US" w:eastAsia="zh-CN"/>
              </w:rPr>
              <w:fldChar w:fldCharType="end"/>
            </w:r>
          </w:p>
        </w:tc>
      </w:tr>
    </w:tbl>
    <w:p w14:paraId="5AADEF7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1.经济成本方面。项目实施成本控制好，实际支出资金规范，实际支出资金能控制在预算之内。</w:t>
      </w:r>
    </w:p>
    <w:p w14:paraId="0542E63D">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52" w:firstLineChars="200"/>
        <w:jc w:val="both"/>
        <w:textAlignment w:val="auto"/>
        <w:rPr>
          <w:rFonts w:hint="eastAsia" w:ascii="仿宋_GB2312" w:hAnsi="仿宋_GB2312" w:eastAsia="仿宋_GB2312" w:cs="仿宋_GB2312"/>
          <w:kern w:val="2"/>
          <w:sz w:val="32"/>
          <w:szCs w:val="32"/>
          <w:lang w:bidi="ar-SA"/>
        </w:rPr>
      </w:pPr>
      <w:r>
        <w:rPr>
          <w:rFonts w:hint="eastAsia" w:ascii="仿宋_GB2312" w:hAnsi="仿宋_GB2312" w:eastAsia="仿宋_GB2312" w:cs="仿宋_GB2312"/>
          <w:color w:val="auto"/>
          <w:kern w:val="2"/>
          <w:sz w:val="32"/>
          <w:szCs w:val="32"/>
          <w:highlight w:val="none"/>
          <w:lang w:val="en-US" w:eastAsia="zh-CN" w:bidi="ar-SA"/>
        </w:rPr>
        <w:t>2.社会成本方面。</w:t>
      </w:r>
      <w:r>
        <w:rPr>
          <w:rFonts w:hint="eastAsia" w:ascii="仿宋_GB2312" w:hAnsi="仿宋_GB2312" w:eastAsia="仿宋_GB2312" w:cs="仿宋_GB2312"/>
          <w:kern w:val="2"/>
          <w:sz w:val="32"/>
          <w:szCs w:val="32"/>
          <w:lang w:bidi="ar-SA"/>
        </w:rPr>
        <w:t>该项目得到了广大人民群众的普遍支持，在实施期间未对项目区域的社会发展产生任何直接或间接的负面影响。</w:t>
      </w:r>
    </w:p>
    <w:p w14:paraId="79184852">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3.生态成本方面。通过项目的实施，</w:t>
      </w:r>
      <w:r>
        <w:rPr>
          <w:rFonts w:hint="eastAsia" w:ascii="仿宋_GB2312" w:hAnsi="仿宋_GB2312" w:eastAsia="仿宋_GB2312" w:cs="仿宋_GB2312"/>
          <w:color w:val="auto"/>
          <w:kern w:val="2"/>
          <w:sz w:val="32"/>
          <w:szCs w:val="32"/>
          <w:highlight w:val="none"/>
          <w:lang w:val="en-US" w:eastAsia="zh-CN" w:bidi="ar-SA"/>
        </w:rPr>
        <w:t>可优化村庄布局，提升乡村基础设施和公共服务水平，改善人居环境</w:t>
      </w:r>
      <w:r>
        <w:rPr>
          <w:rFonts w:hint="eastAsia" w:ascii="仿宋_GB2312" w:hAnsi="仿宋_GB2312" w:eastAsia="仿宋_GB2312" w:cs="仿宋_GB2312"/>
          <w:color w:val="auto"/>
          <w:kern w:val="2"/>
          <w:sz w:val="32"/>
          <w:szCs w:val="32"/>
          <w:highlight w:val="none"/>
          <w:lang w:val="zh-CN" w:eastAsia="zh-CN" w:bidi="ar-SA"/>
        </w:rPr>
        <w:t>。</w:t>
      </w:r>
      <w:r>
        <w:rPr>
          <w:rFonts w:hint="eastAsia" w:ascii="仿宋_GB2312" w:hAnsi="仿宋_GB2312" w:eastAsia="仿宋_GB2312" w:cs="仿宋_GB2312"/>
          <w:color w:val="auto"/>
          <w:kern w:val="2"/>
          <w:sz w:val="32"/>
          <w:szCs w:val="32"/>
          <w:highlight w:val="none"/>
          <w:lang w:val="en-US" w:eastAsia="zh-CN" w:bidi="ar-SA"/>
        </w:rPr>
        <w:t>因此，项目无生态环境方面的负面影响。</w:t>
      </w:r>
    </w:p>
    <w:p w14:paraId="3F957E2B">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评价组认为，项目经济成本、</w:t>
      </w:r>
      <w:r>
        <w:rPr>
          <w:rFonts w:hint="eastAsia" w:ascii="仿宋_GB2312" w:hAnsi="仿宋_GB2312" w:eastAsia="仿宋_GB2312" w:cs="仿宋_GB2312"/>
          <w:color w:val="auto"/>
          <w:kern w:val="2"/>
          <w:sz w:val="32"/>
          <w:szCs w:val="32"/>
          <w:highlight w:val="none"/>
          <w:lang w:val="en-US" w:eastAsia="zh-CN" w:bidi="ar-SA"/>
        </w:rPr>
        <w:t>社会成本和</w:t>
      </w:r>
      <w:r>
        <w:rPr>
          <w:rFonts w:hint="eastAsia" w:ascii="仿宋_GB2312" w:hAnsi="仿宋_GB2312" w:eastAsia="仿宋_GB2312" w:cs="仿宋_GB2312"/>
          <w:color w:val="auto"/>
          <w:sz w:val="32"/>
          <w:szCs w:val="32"/>
          <w:highlight w:val="none"/>
          <w:lang w:val="en-US" w:eastAsia="zh-CN"/>
        </w:rPr>
        <w:t>生态环境成本方面总体较好，无负面影响。</w:t>
      </w:r>
    </w:p>
    <w:p w14:paraId="070AC118">
      <w:pPr>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（四）项目产出情况</w:t>
      </w:r>
    </w:p>
    <w:p w14:paraId="0229243F">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b/>
          <w:bCs/>
          <w:kern w:val="2"/>
          <w:sz w:val="28"/>
          <w:szCs w:val="28"/>
          <w:highlight w:val="none"/>
          <w:lang w:val="en-US" w:eastAsia="zh-CN" w:bidi="ar-SA"/>
        </w:rPr>
      </w:pPr>
      <w:r>
        <w:rPr>
          <w:rFonts w:hint="eastAsia" w:ascii="仿宋_GB2312" w:hAnsi="仿宋_GB2312" w:eastAsia="仿宋_GB2312" w:cs="仿宋_GB2312"/>
          <w:color w:val="auto"/>
          <w:sz w:val="32"/>
          <w:szCs w:val="32"/>
          <w:highlight w:val="none"/>
          <w:lang w:val="en-US" w:eastAsia="zh-CN"/>
        </w:rPr>
        <w:t>项目产出从产出数量、产出质量、产出时效三个方面进行评价。项目产出满分25分，得分22分。具体得分详见表11。</w:t>
      </w:r>
    </w:p>
    <w:p w14:paraId="6D8D9F5B">
      <w:pPr>
        <w:pStyle w:val="10"/>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72" w:firstLineChars="200"/>
        <w:jc w:val="center"/>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表11   项目产出绩效指标分析表</w:t>
      </w:r>
    </w:p>
    <w:tbl>
      <w:tblPr>
        <w:tblStyle w:val="17"/>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1050"/>
        <w:gridCol w:w="1438"/>
        <w:gridCol w:w="2785"/>
        <w:gridCol w:w="967"/>
        <w:gridCol w:w="1183"/>
      </w:tblGrid>
      <w:tr w14:paraId="6194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258" w:type="dxa"/>
            <w:tcBorders>
              <w:left w:val="nil"/>
              <w:tl2br w:val="nil"/>
              <w:tr2bl w:val="nil"/>
            </w:tcBorders>
            <w:shd w:val="clear" w:color="auto" w:fill="D7D7D7"/>
            <w:noWrap w:val="0"/>
            <w:vAlign w:val="center"/>
          </w:tcPr>
          <w:p w14:paraId="6A19BA7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1050" w:type="dxa"/>
            <w:tcBorders>
              <w:tl2br w:val="nil"/>
              <w:tr2bl w:val="nil"/>
            </w:tcBorders>
            <w:shd w:val="clear" w:color="auto" w:fill="D7D7D7"/>
            <w:noWrap w:val="0"/>
            <w:vAlign w:val="center"/>
          </w:tcPr>
          <w:p w14:paraId="7EA5244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438" w:type="dxa"/>
            <w:tcBorders>
              <w:tl2br w:val="nil"/>
              <w:tr2bl w:val="nil"/>
            </w:tcBorders>
            <w:shd w:val="clear" w:color="auto" w:fill="D7D7D7"/>
            <w:noWrap w:val="0"/>
            <w:vAlign w:val="center"/>
          </w:tcPr>
          <w:p w14:paraId="761DBAC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785" w:type="dxa"/>
            <w:tcBorders>
              <w:tl2br w:val="nil"/>
              <w:tr2bl w:val="nil"/>
            </w:tcBorders>
            <w:shd w:val="clear" w:color="auto" w:fill="D7D7D7"/>
            <w:noWrap w:val="0"/>
            <w:vAlign w:val="center"/>
          </w:tcPr>
          <w:p w14:paraId="286C70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967" w:type="dxa"/>
            <w:tcBorders>
              <w:tl2br w:val="nil"/>
              <w:tr2bl w:val="nil"/>
            </w:tcBorders>
            <w:shd w:val="clear" w:color="auto" w:fill="D7D7D7"/>
            <w:noWrap w:val="0"/>
            <w:vAlign w:val="center"/>
          </w:tcPr>
          <w:p w14:paraId="2264CFC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7A00308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77DE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58" w:type="dxa"/>
            <w:vMerge w:val="restart"/>
            <w:tcBorders>
              <w:left w:val="nil"/>
              <w:tl2br w:val="nil"/>
              <w:tr2bl w:val="nil"/>
            </w:tcBorders>
            <w:noWrap w:val="0"/>
            <w:vAlign w:val="center"/>
          </w:tcPr>
          <w:p w14:paraId="50658EC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产出</w:t>
            </w:r>
          </w:p>
        </w:tc>
        <w:tc>
          <w:tcPr>
            <w:tcW w:w="1050" w:type="dxa"/>
            <w:vMerge w:val="restart"/>
            <w:tcBorders>
              <w:tl2br w:val="nil"/>
              <w:tr2bl w:val="nil"/>
            </w:tcBorders>
            <w:noWrap w:val="0"/>
            <w:vAlign w:val="center"/>
          </w:tcPr>
          <w:p w14:paraId="0C3A8DB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25</w:t>
            </w:r>
          </w:p>
        </w:tc>
        <w:tc>
          <w:tcPr>
            <w:tcW w:w="1438" w:type="dxa"/>
            <w:tcBorders>
              <w:tl2br w:val="nil"/>
              <w:tr2bl w:val="nil"/>
            </w:tcBorders>
            <w:noWrap w:val="0"/>
            <w:vAlign w:val="center"/>
          </w:tcPr>
          <w:p w14:paraId="7DD98F5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产出数量</w:t>
            </w:r>
          </w:p>
        </w:tc>
        <w:tc>
          <w:tcPr>
            <w:tcW w:w="2785" w:type="dxa"/>
            <w:tcBorders>
              <w:tl2br w:val="nil"/>
              <w:tr2bl w:val="nil"/>
            </w:tcBorders>
            <w:noWrap w:val="0"/>
            <w:vAlign w:val="center"/>
          </w:tcPr>
          <w:p w14:paraId="6DC68F4E">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项目数量目标完成情况</w:t>
            </w:r>
          </w:p>
        </w:tc>
        <w:tc>
          <w:tcPr>
            <w:tcW w:w="967" w:type="dxa"/>
            <w:tcBorders>
              <w:tl2br w:val="nil"/>
              <w:tr2bl w:val="nil"/>
            </w:tcBorders>
            <w:noWrap w:val="0"/>
            <w:vAlign w:val="center"/>
          </w:tcPr>
          <w:p w14:paraId="73CEDE59">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02C200D9">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r>
      <w:tr w14:paraId="12873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58" w:type="dxa"/>
            <w:vMerge w:val="continue"/>
            <w:tcBorders>
              <w:left w:val="nil"/>
              <w:tl2br w:val="nil"/>
              <w:tr2bl w:val="nil"/>
            </w:tcBorders>
            <w:noWrap w:val="0"/>
            <w:vAlign w:val="center"/>
          </w:tcPr>
          <w:p w14:paraId="2F1B88C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050" w:type="dxa"/>
            <w:vMerge w:val="continue"/>
            <w:tcBorders>
              <w:tl2br w:val="nil"/>
              <w:tr2bl w:val="nil"/>
            </w:tcBorders>
            <w:noWrap w:val="0"/>
            <w:vAlign w:val="center"/>
          </w:tcPr>
          <w:p w14:paraId="19A0876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438" w:type="dxa"/>
            <w:tcBorders>
              <w:tl2br w:val="nil"/>
              <w:tr2bl w:val="nil"/>
            </w:tcBorders>
            <w:noWrap w:val="0"/>
            <w:vAlign w:val="center"/>
          </w:tcPr>
          <w:p w14:paraId="776C54A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产出质量</w:t>
            </w:r>
          </w:p>
        </w:tc>
        <w:tc>
          <w:tcPr>
            <w:tcW w:w="2785" w:type="dxa"/>
            <w:tcBorders>
              <w:tl2br w:val="nil"/>
              <w:tr2bl w:val="nil"/>
            </w:tcBorders>
            <w:noWrap w:val="0"/>
            <w:vAlign w:val="center"/>
          </w:tcPr>
          <w:p w14:paraId="3269FBD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项目质量目标完成情况</w:t>
            </w:r>
          </w:p>
        </w:tc>
        <w:tc>
          <w:tcPr>
            <w:tcW w:w="967" w:type="dxa"/>
            <w:tcBorders>
              <w:tl2br w:val="nil"/>
              <w:tr2bl w:val="nil"/>
            </w:tcBorders>
            <w:noWrap w:val="0"/>
            <w:vAlign w:val="center"/>
          </w:tcPr>
          <w:p w14:paraId="6485EDA2">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1552351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w:t>
            </w:r>
          </w:p>
        </w:tc>
      </w:tr>
      <w:tr w14:paraId="463E7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58" w:type="dxa"/>
            <w:vMerge w:val="continue"/>
            <w:tcBorders>
              <w:left w:val="nil"/>
              <w:tl2br w:val="nil"/>
              <w:tr2bl w:val="nil"/>
            </w:tcBorders>
            <w:noWrap w:val="0"/>
            <w:vAlign w:val="center"/>
          </w:tcPr>
          <w:p w14:paraId="3EFD5AA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050" w:type="dxa"/>
            <w:vMerge w:val="continue"/>
            <w:tcBorders>
              <w:tl2br w:val="nil"/>
              <w:tr2bl w:val="nil"/>
            </w:tcBorders>
            <w:noWrap w:val="0"/>
            <w:vAlign w:val="center"/>
          </w:tcPr>
          <w:p w14:paraId="7F165FD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438" w:type="dxa"/>
            <w:tcBorders>
              <w:tl2br w:val="nil"/>
              <w:tr2bl w:val="nil"/>
            </w:tcBorders>
            <w:noWrap w:val="0"/>
            <w:vAlign w:val="center"/>
          </w:tcPr>
          <w:p w14:paraId="353A3A2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产出时效</w:t>
            </w:r>
          </w:p>
        </w:tc>
        <w:tc>
          <w:tcPr>
            <w:tcW w:w="2785" w:type="dxa"/>
            <w:tcBorders>
              <w:tl2br w:val="nil"/>
              <w:tr2bl w:val="nil"/>
            </w:tcBorders>
            <w:noWrap w:val="0"/>
            <w:vAlign w:val="center"/>
          </w:tcPr>
          <w:p w14:paraId="09FBBAD8">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项目按期完成情况</w:t>
            </w:r>
          </w:p>
        </w:tc>
        <w:tc>
          <w:tcPr>
            <w:tcW w:w="967" w:type="dxa"/>
            <w:tcBorders>
              <w:tl2br w:val="nil"/>
              <w:tr2bl w:val="nil"/>
            </w:tcBorders>
            <w:noWrap w:val="0"/>
            <w:vAlign w:val="center"/>
          </w:tcPr>
          <w:p w14:paraId="60CC6E20">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1183" w:type="dxa"/>
            <w:tcBorders>
              <w:right w:val="nil"/>
              <w:tl2br w:val="nil"/>
              <w:tr2bl w:val="nil"/>
            </w:tcBorders>
            <w:noWrap w:val="0"/>
            <w:vAlign w:val="center"/>
          </w:tcPr>
          <w:p w14:paraId="6F3D72C4">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color w:val="auto"/>
                <w:sz w:val="24"/>
                <w:szCs w:val="24"/>
                <w:highlight w:val="none"/>
                <w:lang w:val="en-US" w:eastAsia="zh-CN"/>
              </w:rPr>
              <w:t>3</w:t>
            </w:r>
          </w:p>
        </w:tc>
      </w:tr>
      <w:tr w14:paraId="56A7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trPr>
        <w:tc>
          <w:tcPr>
            <w:tcW w:w="1258" w:type="dxa"/>
            <w:tcBorders>
              <w:left w:val="nil"/>
              <w:tl2br w:val="nil"/>
              <w:tr2bl w:val="nil"/>
            </w:tcBorders>
            <w:noWrap w:val="0"/>
            <w:vAlign w:val="center"/>
          </w:tcPr>
          <w:p w14:paraId="1AB1923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1050" w:type="dxa"/>
            <w:tcBorders>
              <w:tl2br w:val="nil"/>
              <w:tr2bl w:val="nil"/>
            </w:tcBorders>
            <w:noWrap w:val="0"/>
            <w:vAlign w:val="center"/>
          </w:tcPr>
          <w:p w14:paraId="0D4EF88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438" w:type="dxa"/>
            <w:tcBorders>
              <w:tl2br w:val="nil"/>
              <w:tr2bl w:val="nil"/>
            </w:tcBorders>
            <w:noWrap w:val="0"/>
            <w:vAlign w:val="center"/>
          </w:tcPr>
          <w:p w14:paraId="1D174DE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2785" w:type="dxa"/>
            <w:tcBorders>
              <w:tl2br w:val="nil"/>
              <w:tr2bl w:val="nil"/>
            </w:tcBorders>
            <w:noWrap w:val="0"/>
            <w:vAlign w:val="center"/>
          </w:tcPr>
          <w:p w14:paraId="19C9A02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67" w:type="dxa"/>
            <w:tcBorders>
              <w:tl2br w:val="nil"/>
              <w:tr2bl w:val="nil"/>
            </w:tcBorders>
            <w:noWrap w:val="0"/>
            <w:vAlign w:val="center"/>
          </w:tcPr>
          <w:p w14:paraId="69BEABA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183" w:type="dxa"/>
            <w:tcBorders>
              <w:right w:val="nil"/>
              <w:tl2br w:val="nil"/>
              <w:tr2bl w:val="nil"/>
            </w:tcBorders>
            <w:noWrap w:val="0"/>
            <w:vAlign w:val="center"/>
          </w:tcPr>
          <w:p w14:paraId="7B5D812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22</w:t>
            </w:r>
          </w:p>
        </w:tc>
      </w:tr>
    </w:tbl>
    <w:p w14:paraId="1BC20DD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1.产出数量方面。从项目单位提供的相关资料及现场检查情况来看，项目已完成了</w:t>
      </w:r>
      <w:r>
        <w:rPr>
          <w:rFonts w:hint="eastAsia" w:ascii="仿宋_GB2312" w:hAnsi="仿宋_GB2312" w:eastAsia="仿宋_GB2312" w:cs="仿宋_GB2312"/>
          <w:color w:val="auto"/>
          <w:kern w:val="2"/>
          <w:sz w:val="32"/>
          <w:szCs w:val="32"/>
          <w:highlight w:val="none"/>
          <w:lang w:val="en-US" w:eastAsia="zh-CN" w:bidi="ar-SA"/>
        </w:rPr>
        <w:t>5个镇级国土空间规划、35个实用性村庄规划编制任务，</w:t>
      </w:r>
      <w:r>
        <w:rPr>
          <w:rFonts w:hint="eastAsia" w:ascii="仿宋_GB2312" w:hAnsi="仿宋_GB2312" w:eastAsia="仿宋_GB2312" w:cs="仿宋_GB2312"/>
          <w:color w:val="auto"/>
          <w:sz w:val="32"/>
          <w:szCs w:val="32"/>
          <w:highlight w:val="none"/>
          <w:lang w:val="en-US" w:eastAsia="zh-CN"/>
        </w:rPr>
        <w:t xml:space="preserve">产出数量目标任务完成好。        </w:t>
      </w:r>
    </w:p>
    <w:p w14:paraId="625C32D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52"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产出质量方面。据项目单位提供的《扶风县自然资源局关于村庄规划质量评估情况的报告》显示，扶风县村庄规划编制程序完整度较好，规划成果的形式评估、符合性评估等各类要素齐全完整，整体情况良好；仅在数据库、村民版成果及备案版成果的相关章节需进一步整改提升。总体而言，项目产出质量完成较好。</w:t>
      </w:r>
    </w:p>
    <w:p w14:paraId="0FEB9E5C">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产出时效方面。从项目单位提供的相关资料来看，项目时效性不强，如：扶风县镇级国土空间规划和村庄规划编制项目Ⅷ标段（午井镇：强家沟村、高望寺村）合同约定的规划编制周期为“自合同签订之日起90日历天”，该标段合同签订时间为2023年10月26日，而最终成果文件直至2025年3月才出具，成果交付周期明显过长。</w:t>
      </w:r>
    </w:p>
    <w:p w14:paraId="290142D3">
      <w:pPr>
        <w:pStyle w:val="1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评价组认为，项目产出从整体上看，产出数量、产出质量完成情况好，均达成预期目标。但产出时效未能全部达到预期目标。</w:t>
      </w:r>
    </w:p>
    <w:p w14:paraId="671AC80C">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（五）项目效益情况</w:t>
      </w:r>
    </w:p>
    <w:p w14:paraId="62B1F88E">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 w:hAnsi="仿宋" w:eastAsia="仿宋" w:cs="仿宋"/>
          <w:b/>
          <w:bCs/>
          <w:kern w:val="2"/>
          <w:sz w:val="28"/>
          <w:szCs w:val="28"/>
          <w:highlight w:val="none"/>
          <w:lang w:val="en-US" w:eastAsia="zh-CN" w:bidi="ar-SA"/>
        </w:rPr>
      </w:pPr>
      <w:r>
        <w:rPr>
          <w:rFonts w:hint="eastAsia" w:ascii="仿宋_GB2312" w:hAnsi="仿宋_GB2312" w:eastAsia="仿宋_GB2312" w:cs="仿宋_GB2312"/>
          <w:color w:val="auto"/>
          <w:sz w:val="32"/>
          <w:szCs w:val="32"/>
          <w:highlight w:val="none"/>
          <w:lang w:val="en-US" w:eastAsia="zh-CN"/>
        </w:rPr>
        <w:t>从经济效益、社会效益、生态效益、可持续影响、受表彰情况、满意度六个方面进行评价。项目效益满分为35分，得分为28.9分。具体得分详见表12。</w:t>
      </w:r>
    </w:p>
    <w:p w14:paraId="3B1A3D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72" w:firstLineChars="200"/>
        <w:jc w:val="center"/>
        <w:textAlignment w:val="auto"/>
        <w:rPr>
          <w:rFonts w:hint="eastAsia" w:ascii="仿宋_GB2312" w:hAnsi="仿宋_GB2312" w:eastAsia="仿宋_GB2312" w:cs="仿宋_GB2312"/>
          <w:b/>
          <w:bCs/>
          <w:kern w:val="2"/>
          <w:sz w:val="28"/>
          <w:szCs w:val="28"/>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表12   项目效益绩效指标分析表</w:t>
      </w:r>
    </w:p>
    <w:tbl>
      <w:tblPr>
        <w:tblStyle w:val="17"/>
        <w:tblpPr w:leftFromText="181" w:rightFromText="181" w:vertAnchor="text" w:horzAnchor="page" w:tblpX="1946"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8"/>
        <w:gridCol w:w="587"/>
        <w:gridCol w:w="1444"/>
        <w:gridCol w:w="3771"/>
        <w:gridCol w:w="836"/>
        <w:gridCol w:w="1018"/>
      </w:tblGrid>
      <w:tr w14:paraId="7DAB5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7" w:hRule="exact"/>
          <w:tblHeader/>
        </w:trPr>
        <w:tc>
          <w:tcPr>
            <w:tcW w:w="848" w:type="dxa"/>
            <w:tcBorders>
              <w:top w:val="single" w:color="000000" w:sz="4" w:space="0"/>
              <w:bottom w:val="single" w:color="000000" w:sz="4" w:space="0"/>
              <w:right w:val="single" w:color="000000" w:sz="4" w:space="0"/>
            </w:tcBorders>
            <w:shd w:val="clear" w:color="auto" w:fill="D7D7D7"/>
            <w:noWrap w:val="0"/>
            <w:vAlign w:val="center"/>
          </w:tcPr>
          <w:p w14:paraId="0FAEC2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一级</w:t>
            </w:r>
          </w:p>
          <w:p w14:paraId="1521F1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指标</w:t>
            </w:r>
          </w:p>
        </w:tc>
        <w:tc>
          <w:tcPr>
            <w:tcW w:w="587"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5D2599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1444"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6E81BE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二级指标</w:t>
            </w:r>
          </w:p>
        </w:tc>
        <w:tc>
          <w:tcPr>
            <w:tcW w:w="3771"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0B1C38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三级指标</w:t>
            </w:r>
          </w:p>
        </w:tc>
        <w:tc>
          <w:tcPr>
            <w:tcW w:w="836" w:type="dxa"/>
            <w:tcBorders>
              <w:top w:val="single" w:color="000000" w:sz="4" w:space="0"/>
              <w:left w:val="single" w:color="000000" w:sz="4" w:space="0"/>
              <w:bottom w:val="single" w:color="000000" w:sz="4" w:space="0"/>
              <w:right w:val="single" w:color="auto" w:sz="4" w:space="0"/>
            </w:tcBorders>
            <w:shd w:val="clear" w:color="auto" w:fill="D7D7D7"/>
            <w:noWrap w:val="0"/>
            <w:vAlign w:val="center"/>
          </w:tcPr>
          <w:p w14:paraId="6A899E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1018" w:type="dxa"/>
            <w:tcBorders>
              <w:top w:val="single" w:color="000000" w:sz="4" w:space="0"/>
              <w:left w:val="single" w:color="000000" w:sz="4" w:space="0"/>
              <w:bottom w:val="single" w:color="000000" w:sz="4" w:space="0"/>
              <w:right w:val="nil"/>
            </w:tcBorders>
            <w:shd w:val="clear" w:color="auto" w:fill="D7D7D7"/>
            <w:noWrap w:val="0"/>
            <w:vAlign w:val="center"/>
          </w:tcPr>
          <w:p w14:paraId="2214093A">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bCs/>
                <w:color w:val="auto"/>
                <w:sz w:val="24"/>
                <w:szCs w:val="24"/>
                <w:highlight w:val="none"/>
                <w:lang w:val="en-US" w:eastAsia="zh-CN"/>
              </w:rPr>
              <w:t>得分</w:t>
            </w:r>
          </w:p>
        </w:tc>
      </w:tr>
      <w:tr w14:paraId="4DF08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exact"/>
        </w:trPr>
        <w:tc>
          <w:tcPr>
            <w:tcW w:w="848" w:type="dxa"/>
            <w:vMerge w:val="restart"/>
            <w:tcBorders>
              <w:top w:val="single" w:color="000000" w:sz="4" w:space="0"/>
              <w:bottom w:val="single" w:color="000000" w:sz="4" w:space="0"/>
              <w:right w:val="single" w:color="000000" w:sz="4" w:space="0"/>
            </w:tcBorders>
            <w:noWrap w:val="0"/>
            <w:vAlign w:val="center"/>
          </w:tcPr>
          <w:p w14:paraId="08BF70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 xml:space="preserve">效益     </w:t>
            </w:r>
          </w:p>
        </w:tc>
        <w:tc>
          <w:tcPr>
            <w:tcW w:w="587" w:type="dxa"/>
            <w:vMerge w:val="restart"/>
            <w:tcBorders>
              <w:top w:val="single" w:color="000000" w:sz="4" w:space="0"/>
              <w:left w:val="single" w:color="000000" w:sz="4" w:space="0"/>
              <w:bottom w:val="single" w:color="000000" w:sz="4" w:space="0"/>
              <w:right w:val="single" w:color="000000" w:sz="4" w:space="0"/>
            </w:tcBorders>
            <w:noWrap w:val="0"/>
            <w:vAlign w:val="center"/>
          </w:tcPr>
          <w:p w14:paraId="1C8674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44CB2D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经济效益</w:t>
            </w:r>
          </w:p>
        </w:tc>
        <w:tc>
          <w:tcPr>
            <w:tcW w:w="377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01EB8C">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auto"/>
                <w:kern w:val="2"/>
                <w:sz w:val="24"/>
                <w:szCs w:val="24"/>
                <w:highlight w:val="none"/>
                <w:vertAlign w:val="baseline"/>
                <w:lang w:val="en-US" w:eastAsia="zh-CN" w:bidi="ar-SA"/>
              </w:rPr>
            </w:pPr>
            <w:r>
              <w:rPr>
                <w:rFonts w:hint="eastAsia" w:ascii="仿宋_GB2312" w:hAnsi="仿宋_GB2312" w:eastAsia="仿宋_GB2312" w:cs="仿宋_GB2312"/>
                <w:color w:val="auto"/>
                <w:kern w:val="2"/>
                <w:sz w:val="24"/>
                <w:szCs w:val="24"/>
                <w:highlight w:val="none"/>
                <w:vertAlign w:val="baseline"/>
                <w:lang w:val="en-US" w:eastAsia="zh-CN" w:bidi="ar-SA"/>
              </w:rPr>
              <w:t>促进区域经济发展作用情况</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2DD794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1018" w:type="dxa"/>
            <w:tcBorders>
              <w:top w:val="single" w:color="000000" w:sz="4" w:space="0"/>
              <w:left w:val="single" w:color="000000" w:sz="4" w:space="0"/>
              <w:bottom w:val="single" w:color="000000" w:sz="4" w:space="0"/>
              <w:right w:val="nil"/>
            </w:tcBorders>
            <w:noWrap w:val="0"/>
            <w:vAlign w:val="center"/>
          </w:tcPr>
          <w:p w14:paraId="5FE03B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4.5</w:t>
            </w:r>
          </w:p>
        </w:tc>
      </w:tr>
      <w:tr w14:paraId="5B8EE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exact"/>
        </w:trPr>
        <w:tc>
          <w:tcPr>
            <w:tcW w:w="848" w:type="dxa"/>
            <w:vMerge w:val="continue"/>
            <w:tcBorders>
              <w:top w:val="single" w:color="000000" w:sz="4" w:space="0"/>
              <w:bottom w:val="single" w:color="000000" w:sz="4" w:space="0"/>
              <w:right w:val="single" w:color="000000" w:sz="4" w:space="0"/>
            </w:tcBorders>
            <w:noWrap w:val="0"/>
            <w:vAlign w:val="center"/>
          </w:tcPr>
          <w:p w14:paraId="1A8C20CF">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59053A">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restart"/>
            <w:tcBorders>
              <w:top w:val="single" w:color="000000" w:sz="4" w:space="0"/>
              <w:left w:val="single" w:color="000000" w:sz="4" w:space="0"/>
              <w:bottom w:val="single" w:color="000000" w:sz="4" w:space="0"/>
              <w:right w:val="single" w:color="000000" w:sz="4" w:space="0"/>
            </w:tcBorders>
            <w:noWrap w:val="0"/>
            <w:vAlign w:val="center"/>
          </w:tcPr>
          <w:p w14:paraId="7119CA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社会效益</w:t>
            </w:r>
          </w:p>
        </w:tc>
        <w:tc>
          <w:tcPr>
            <w:tcW w:w="377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D8D7BE">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auto"/>
                <w:kern w:val="2"/>
                <w:sz w:val="24"/>
                <w:szCs w:val="24"/>
                <w:highlight w:val="none"/>
                <w:vertAlign w:val="baseline"/>
                <w:lang w:val="en-US" w:eastAsia="zh-CN" w:bidi="ar-SA"/>
              </w:rPr>
            </w:pPr>
            <w:r>
              <w:rPr>
                <w:rFonts w:hint="eastAsia" w:ascii="仿宋_GB2312" w:hAnsi="仿宋_GB2312" w:eastAsia="仿宋_GB2312" w:cs="仿宋_GB2312"/>
                <w:color w:val="auto"/>
                <w:kern w:val="2"/>
                <w:sz w:val="24"/>
                <w:szCs w:val="24"/>
                <w:highlight w:val="none"/>
                <w:vertAlign w:val="baseline"/>
                <w:lang w:val="en-US" w:eastAsia="zh-CN" w:bidi="ar-SA"/>
              </w:rPr>
              <w:t>提升人居环境水平</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50264B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1018" w:type="dxa"/>
            <w:tcBorders>
              <w:top w:val="single" w:color="000000" w:sz="4" w:space="0"/>
              <w:left w:val="single" w:color="000000" w:sz="4" w:space="0"/>
              <w:bottom w:val="single" w:color="000000" w:sz="4" w:space="0"/>
              <w:right w:val="nil"/>
            </w:tcBorders>
            <w:noWrap/>
            <w:vAlign w:val="center"/>
          </w:tcPr>
          <w:p w14:paraId="276DE4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2.7</w:t>
            </w:r>
          </w:p>
        </w:tc>
      </w:tr>
      <w:tr w14:paraId="6D696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exact"/>
        </w:trPr>
        <w:tc>
          <w:tcPr>
            <w:tcW w:w="848" w:type="dxa"/>
            <w:vMerge w:val="continue"/>
            <w:tcBorders>
              <w:top w:val="single" w:color="000000" w:sz="4" w:space="0"/>
              <w:bottom w:val="single" w:color="000000" w:sz="4" w:space="0"/>
              <w:right w:val="single" w:color="000000" w:sz="4" w:space="0"/>
            </w:tcBorders>
            <w:noWrap w:val="0"/>
            <w:vAlign w:val="center"/>
          </w:tcPr>
          <w:p w14:paraId="2B7E7ACB">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A37F4E">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F030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377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016E4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auto"/>
                <w:kern w:val="2"/>
                <w:sz w:val="24"/>
                <w:szCs w:val="24"/>
                <w:highlight w:val="none"/>
                <w:vertAlign w:val="baseline"/>
                <w:lang w:val="en-US" w:eastAsia="zh-CN" w:bidi="ar-SA"/>
              </w:rPr>
            </w:pPr>
            <w:r>
              <w:rPr>
                <w:rFonts w:hint="eastAsia" w:ascii="仿宋_GB2312" w:hAnsi="仿宋_GB2312" w:eastAsia="仿宋_GB2312" w:cs="仿宋_GB2312"/>
                <w:color w:val="auto"/>
                <w:kern w:val="2"/>
                <w:sz w:val="24"/>
                <w:szCs w:val="24"/>
                <w:highlight w:val="none"/>
                <w:vertAlign w:val="baseline"/>
                <w:lang w:val="en-US" w:eastAsia="zh-CN" w:bidi="ar-SA"/>
              </w:rPr>
              <w:t>优化村庄布局</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4D5853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1018" w:type="dxa"/>
            <w:tcBorders>
              <w:top w:val="single" w:color="000000" w:sz="4" w:space="0"/>
              <w:left w:val="single" w:color="000000" w:sz="4" w:space="0"/>
              <w:bottom w:val="single" w:color="000000" w:sz="4" w:space="0"/>
              <w:right w:val="nil"/>
            </w:tcBorders>
            <w:noWrap/>
            <w:vAlign w:val="center"/>
          </w:tcPr>
          <w:p w14:paraId="09F9A8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2.7</w:t>
            </w:r>
          </w:p>
        </w:tc>
      </w:tr>
      <w:tr w14:paraId="4E97C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exact"/>
        </w:trPr>
        <w:tc>
          <w:tcPr>
            <w:tcW w:w="848" w:type="dxa"/>
            <w:vMerge w:val="continue"/>
            <w:tcBorders>
              <w:top w:val="single" w:color="000000" w:sz="4" w:space="0"/>
              <w:bottom w:val="single" w:color="000000" w:sz="4" w:space="0"/>
              <w:right w:val="single" w:color="000000" w:sz="4" w:space="0"/>
            </w:tcBorders>
            <w:noWrap w:val="0"/>
            <w:vAlign w:val="center"/>
          </w:tcPr>
          <w:p w14:paraId="733AE685">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7C1C49">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69D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377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999EA1">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color w:val="auto"/>
                <w:kern w:val="2"/>
                <w:sz w:val="24"/>
                <w:szCs w:val="24"/>
                <w:highlight w:val="none"/>
                <w:vertAlign w:val="baseline"/>
                <w:lang w:val="en-US" w:eastAsia="zh-CN" w:bidi="ar-SA"/>
              </w:rPr>
            </w:pPr>
            <w:r>
              <w:rPr>
                <w:rFonts w:hint="eastAsia" w:ascii="仿宋_GB2312" w:hAnsi="仿宋_GB2312" w:eastAsia="仿宋_GB2312" w:cs="仿宋_GB2312"/>
                <w:color w:val="auto"/>
                <w:kern w:val="2"/>
                <w:sz w:val="24"/>
                <w:szCs w:val="24"/>
                <w:highlight w:val="none"/>
                <w:vertAlign w:val="baseline"/>
                <w:lang w:val="en-US" w:eastAsia="zh-CN" w:bidi="ar-SA"/>
              </w:rPr>
              <w:t>促进宜居宜业和美乡村建设作用情况</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026D7D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1018" w:type="dxa"/>
            <w:tcBorders>
              <w:top w:val="single" w:color="000000" w:sz="4" w:space="0"/>
              <w:left w:val="single" w:color="000000" w:sz="4" w:space="0"/>
              <w:bottom w:val="single" w:color="000000" w:sz="4" w:space="0"/>
              <w:right w:val="nil"/>
            </w:tcBorders>
            <w:noWrap/>
            <w:vAlign w:val="center"/>
          </w:tcPr>
          <w:p w14:paraId="10F1C1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2.7</w:t>
            </w:r>
          </w:p>
        </w:tc>
      </w:tr>
      <w:tr w14:paraId="1BEFC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exact"/>
        </w:trPr>
        <w:tc>
          <w:tcPr>
            <w:tcW w:w="848" w:type="dxa"/>
            <w:vMerge w:val="continue"/>
            <w:tcBorders>
              <w:top w:val="single" w:color="000000" w:sz="4" w:space="0"/>
              <w:bottom w:val="single" w:color="000000" w:sz="4" w:space="0"/>
              <w:right w:val="single" w:color="000000" w:sz="4" w:space="0"/>
            </w:tcBorders>
            <w:noWrap w:val="0"/>
            <w:vAlign w:val="center"/>
          </w:tcPr>
          <w:p w14:paraId="158F3068">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A420A4">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3C751F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生态效益</w:t>
            </w:r>
          </w:p>
        </w:tc>
        <w:tc>
          <w:tcPr>
            <w:tcW w:w="3771" w:type="dxa"/>
            <w:tcBorders>
              <w:top w:val="single" w:color="000000" w:sz="4" w:space="0"/>
              <w:left w:val="single" w:color="000000" w:sz="4" w:space="0"/>
              <w:bottom w:val="single" w:color="000000" w:sz="4" w:space="0"/>
              <w:right w:val="single" w:color="000000" w:sz="4" w:space="0"/>
            </w:tcBorders>
            <w:noWrap w:val="0"/>
            <w:vAlign w:val="center"/>
          </w:tcPr>
          <w:p w14:paraId="25A68C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生态效益</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17A1EA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1018" w:type="dxa"/>
            <w:tcBorders>
              <w:top w:val="single" w:color="000000" w:sz="4" w:space="0"/>
              <w:left w:val="single" w:color="000000" w:sz="4" w:space="0"/>
              <w:bottom w:val="single" w:color="000000" w:sz="4" w:space="0"/>
              <w:right w:val="nil"/>
            </w:tcBorders>
            <w:noWrap/>
            <w:vAlign w:val="center"/>
          </w:tcPr>
          <w:p w14:paraId="34159F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3.6</w:t>
            </w:r>
          </w:p>
        </w:tc>
      </w:tr>
      <w:tr w14:paraId="044AE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exact"/>
        </w:trPr>
        <w:tc>
          <w:tcPr>
            <w:tcW w:w="848" w:type="dxa"/>
            <w:vMerge w:val="continue"/>
            <w:tcBorders>
              <w:top w:val="single" w:color="000000" w:sz="4" w:space="0"/>
              <w:bottom w:val="single" w:color="000000" w:sz="4" w:space="0"/>
              <w:right w:val="single" w:color="000000" w:sz="4" w:space="0"/>
            </w:tcBorders>
            <w:noWrap w:val="0"/>
            <w:vAlign w:val="center"/>
          </w:tcPr>
          <w:p w14:paraId="29E81E84">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04F29F">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5C7B23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可持续影响</w:t>
            </w:r>
          </w:p>
        </w:tc>
        <w:tc>
          <w:tcPr>
            <w:tcW w:w="3771" w:type="dxa"/>
            <w:tcBorders>
              <w:top w:val="single" w:color="000000" w:sz="4" w:space="0"/>
              <w:left w:val="single" w:color="000000" w:sz="4" w:space="0"/>
              <w:bottom w:val="single" w:color="000000" w:sz="4" w:space="0"/>
              <w:right w:val="single" w:color="000000" w:sz="4" w:space="0"/>
            </w:tcBorders>
            <w:noWrap w:val="0"/>
            <w:vAlign w:val="center"/>
          </w:tcPr>
          <w:p w14:paraId="464E5D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可持续发展情况</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0C9A78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1018" w:type="dxa"/>
            <w:tcBorders>
              <w:top w:val="single" w:color="000000" w:sz="4" w:space="0"/>
              <w:left w:val="single" w:color="000000" w:sz="4" w:space="0"/>
              <w:bottom w:val="single" w:color="000000" w:sz="4" w:space="0"/>
              <w:right w:val="nil"/>
            </w:tcBorders>
            <w:noWrap/>
            <w:vAlign w:val="center"/>
          </w:tcPr>
          <w:p w14:paraId="4AC3D9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3.6</w:t>
            </w:r>
          </w:p>
        </w:tc>
      </w:tr>
      <w:tr w14:paraId="2DC49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848" w:type="dxa"/>
            <w:vMerge w:val="continue"/>
            <w:tcBorders>
              <w:top w:val="single" w:color="000000" w:sz="4" w:space="0"/>
              <w:bottom w:val="single" w:color="000000" w:sz="4" w:space="0"/>
              <w:right w:val="single" w:color="000000" w:sz="4" w:space="0"/>
            </w:tcBorders>
            <w:noWrap w:val="0"/>
            <w:vAlign w:val="center"/>
          </w:tcPr>
          <w:p w14:paraId="7035B535">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01CBD4">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081938C1">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受表彰情况</w:t>
            </w:r>
          </w:p>
        </w:tc>
        <w:tc>
          <w:tcPr>
            <w:tcW w:w="3771" w:type="dxa"/>
            <w:tcBorders>
              <w:top w:val="single" w:color="000000" w:sz="4" w:space="0"/>
              <w:left w:val="single" w:color="000000" w:sz="4" w:space="0"/>
              <w:bottom w:val="single" w:color="000000" w:sz="4" w:space="0"/>
              <w:right w:val="single" w:color="000000" w:sz="4" w:space="0"/>
            </w:tcBorders>
            <w:noWrap w:val="0"/>
            <w:vAlign w:val="center"/>
          </w:tcPr>
          <w:p w14:paraId="46E21D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相关工作是否受到市级以上表彰奖励</w:t>
            </w:r>
          </w:p>
        </w:tc>
        <w:tc>
          <w:tcPr>
            <w:tcW w:w="836" w:type="dxa"/>
            <w:tcBorders>
              <w:top w:val="single" w:color="000000" w:sz="4" w:space="0"/>
              <w:left w:val="single" w:color="000000" w:sz="4" w:space="0"/>
              <w:bottom w:val="single" w:color="000000" w:sz="4" w:space="0"/>
              <w:right w:val="single" w:color="000000" w:sz="4" w:space="0"/>
            </w:tcBorders>
            <w:noWrap w:val="0"/>
            <w:vAlign w:val="center"/>
          </w:tcPr>
          <w:p w14:paraId="3E6FFF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1018" w:type="dxa"/>
            <w:tcBorders>
              <w:top w:val="single" w:color="000000" w:sz="4" w:space="0"/>
              <w:left w:val="single" w:color="000000" w:sz="4" w:space="0"/>
              <w:bottom w:val="single" w:color="000000" w:sz="4" w:space="0"/>
              <w:right w:val="nil"/>
            </w:tcBorders>
            <w:noWrap/>
            <w:vAlign w:val="center"/>
          </w:tcPr>
          <w:p w14:paraId="263E9D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r>
      <w:tr w14:paraId="27805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exact"/>
        </w:trPr>
        <w:tc>
          <w:tcPr>
            <w:tcW w:w="848" w:type="dxa"/>
            <w:vMerge w:val="continue"/>
            <w:tcBorders>
              <w:top w:val="single" w:color="000000" w:sz="4" w:space="0"/>
              <w:bottom w:val="single" w:color="000000" w:sz="4" w:space="0"/>
              <w:right w:val="single" w:color="000000" w:sz="4" w:space="0"/>
            </w:tcBorders>
            <w:noWrap w:val="0"/>
            <w:vAlign w:val="center"/>
          </w:tcPr>
          <w:p w14:paraId="7CD65C0A">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2BC3F9">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54D4F4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满意度</w:t>
            </w:r>
          </w:p>
        </w:tc>
        <w:tc>
          <w:tcPr>
            <w:tcW w:w="3771" w:type="dxa"/>
            <w:tcBorders>
              <w:top w:val="single" w:color="000000" w:sz="4" w:space="0"/>
              <w:left w:val="single" w:color="000000" w:sz="4" w:space="0"/>
              <w:bottom w:val="single" w:color="000000" w:sz="4" w:space="0"/>
              <w:right w:val="single" w:color="000000" w:sz="4" w:space="0"/>
            </w:tcBorders>
            <w:noWrap w:val="0"/>
            <w:vAlign w:val="center"/>
          </w:tcPr>
          <w:p w14:paraId="363F9A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服务对象满意程度</w:t>
            </w:r>
          </w:p>
        </w:tc>
        <w:tc>
          <w:tcPr>
            <w:tcW w:w="836" w:type="dxa"/>
            <w:tcBorders>
              <w:top w:val="single" w:color="000000" w:sz="4" w:space="0"/>
              <w:left w:val="single" w:color="000000" w:sz="4" w:space="0"/>
              <w:bottom w:val="single" w:color="000000" w:sz="4" w:space="0"/>
              <w:right w:val="single" w:color="auto" w:sz="4" w:space="0"/>
            </w:tcBorders>
            <w:noWrap w:val="0"/>
            <w:vAlign w:val="center"/>
          </w:tcPr>
          <w:p w14:paraId="521194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018" w:type="dxa"/>
            <w:tcBorders>
              <w:top w:val="single" w:color="000000" w:sz="4" w:space="0"/>
              <w:left w:val="single" w:color="000000" w:sz="4" w:space="0"/>
              <w:bottom w:val="single" w:color="000000" w:sz="4" w:space="0"/>
              <w:right w:val="nil"/>
            </w:tcBorders>
            <w:noWrap/>
            <w:vAlign w:val="center"/>
          </w:tcPr>
          <w:p w14:paraId="2B603F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9.1</w:t>
            </w:r>
          </w:p>
        </w:tc>
      </w:tr>
      <w:tr w14:paraId="2F5B2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exact"/>
        </w:trPr>
        <w:tc>
          <w:tcPr>
            <w:tcW w:w="848" w:type="dxa"/>
            <w:tcBorders>
              <w:top w:val="single" w:color="000000" w:sz="4" w:space="0"/>
              <w:bottom w:val="single" w:color="000000" w:sz="4" w:space="0"/>
              <w:right w:val="single" w:color="000000" w:sz="4" w:space="0"/>
            </w:tcBorders>
            <w:noWrap w:val="0"/>
            <w:vAlign w:val="center"/>
          </w:tcPr>
          <w:p w14:paraId="2B975A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3EF075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123E82F7">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color w:val="auto"/>
                <w:sz w:val="24"/>
                <w:szCs w:val="24"/>
                <w:highlight w:val="none"/>
              </w:rPr>
              <w:t>—</w:t>
            </w:r>
          </w:p>
        </w:tc>
        <w:tc>
          <w:tcPr>
            <w:tcW w:w="3771" w:type="dxa"/>
            <w:tcBorders>
              <w:top w:val="single" w:color="000000" w:sz="4" w:space="0"/>
              <w:left w:val="single" w:color="000000" w:sz="4" w:space="0"/>
              <w:bottom w:val="single" w:color="000000" w:sz="4" w:space="0"/>
              <w:right w:val="single" w:color="000000" w:sz="4" w:space="0"/>
            </w:tcBorders>
            <w:noWrap w:val="0"/>
            <w:vAlign w:val="center"/>
          </w:tcPr>
          <w:p w14:paraId="21546BB2">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color w:val="auto"/>
                <w:sz w:val="24"/>
                <w:szCs w:val="24"/>
                <w:highlight w:val="none"/>
              </w:rPr>
              <w:t>—</w:t>
            </w:r>
          </w:p>
        </w:tc>
        <w:tc>
          <w:tcPr>
            <w:tcW w:w="836" w:type="dxa"/>
            <w:tcBorders>
              <w:top w:val="single" w:color="000000" w:sz="4" w:space="0"/>
              <w:left w:val="single" w:color="000000" w:sz="4" w:space="0"/>
              <w:bottom w:val="single" w:color="000000" w:sz="4" w:space="0"/>
              <w:right w:val="single" w:color="auto" w:sz="4" w:space="0"/>
            </w:tcBorders>
            <w:noWrap w:val="0"/>
            <w:vAlign w:val="center"/>
          </w:tcPr>
          <w:p w14:paraId="654AD3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35</w:t>
            </w:r>
          </w:p>
        </w:tc>
        <w:tc>
          <w:tcPr>
            <w:tcW w:w="1018" w:type="dxa"/>
            <w:tcBorders>
              <w:top w:val="single" w:color="000000" w:sz="4" w:space="0"/>
              <w:left w:val="single" w:color="000000" w:sz="4" w:space="0"/>
              <w:bottom w:val="single" w:color="000000" w:sz="4" w:space="0"/>
              <w:right w:val="nil"/>
            </w:tcBorders>
            <w:noWrap w:val="0"/>
            <w:vAlign w:val="center"/>
          </w:tcPr>
          <w:p w14:paraId="3FF752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28.9</w:t>
            </w:r>
          </w:p>
        </w:tc>
      </w:tr>
    </w:tbl>
    <w:p w14:paraId="44412E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经济效益方面。项目虽无直接经济效益，但通过整合国土空间、引导乡村特色产业科学布局，可实现土地资源集约高效利用，促进一、二、三产业融合发展，为乡村产业升级提供空间支撑，进而为县域经济健康发展筑牢基础，间接经济效益较为明显。</w:t>
      </w:r>
    </w:p>
    <w:p w14:paraId="1ACC6B8E">
      <w:pPr>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社会效益</w:t>
      </w:r>
      <w:r>
        <w:rPr>
          <w:rFonts w:hint="eastAsia" w:ascii="仿宋_GB2312" w:hAnsi="仿宋_GB2312" w:eastAsia="仿宋_GB2312" w:cs="仿宋_GB2312"/>
          <w:color w:val="auto"/>
          <w:kern w:val="2"/>
          <w:sz w:val="32"/>
          <w:szCs w:val="32"/>
          <w:highlight w:val="none"/>
          <w:lang w:val="en-US" w:eastAsia="zh-CN" w:bidi="ar-SA"/>
        </w:rPr>
        <w:t>方面。</w:t>
      </w:r>
      <w:r>
        <w:rPr>
          <w:rFonts w:hint="eastAsia" w:ascii="仿宋_GB2312" w:hAnsi="仿宋_GB2312" w:eastAsia="仿宋_GB2312" w:cs="仿宋_GB2312"/>
          <w:color w:val="auto"/>
          <w:sz w:val="32"/>
          <w:szCs w:val="32"/>
          <w:highlight w:val="none"/>
          <w:lang w:val="en-US" w:eastAsia="zh-CN"/>
        </w:rPr>
        <w:t>项目实施后，一方面能统筹公共服务设施与基础设施布局，推动教育、医疗、养老等资源在乡村均衡配置，改善乡村人居环境，助力建设宜居宜业和美乡村；另一方面，规划编制吸纳村民深度参与，既强化了村民的主体地位、提升了乡村治理民主化水平，也增强了村民对乡村发展的认同感与归属感，进而促进乡村社会和谐稳定，项目预期社会效益较为明显。</w:t>
      </w:r>
    </w:p>
    <w:p w14:paraId="62A79118">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生态效益</w:t>
      </w:r>
      <w:r>
        <w:rPr>
          <w:rFonts w:hint="eastAsia" w:ascii="仿宋_GB2312" w:hAnsi="仿宋_GB2312" w:eastAsia="仿宋_GB2312" w:cs="仿宋_GB2312"/>
          <w:color w:val="auto"/>
          <w:kern w:val="2"/>
          <w:sz w:val="32"/>
          <w:szCs w:val="32"/>
          <w:highlight w:val="none"/>
          <w:lang w:val="en-US" w:eastAsia="zh-CN" w:bidi="ar-SA"/>
        </w:rPr>
        <w:t>方面。项目的实施，</w:t>
      </w:r>
      <w:r>
        <w:rPr>
          <w:rFonts w:hint="default" w:ascii="仿宋_GB2312" w:hAnsi="仿宋_GB2312" w:eastAsia="仿宋_GB2312" w:cs="仿宋_GB2312"/>
          <w:color w:val="auto"/>
          <w:kern w:val="2"/>
          <w:sz w:val="32"/>
          <w:szCs w:val="32"/>
          <w:highlight w:val="none"/>
          <w:lang w:val="en-US" w:eastAsia="zh-CN" w:bidi="ar-SA"/>
        </w:rPr>
        <w:t>将生态保护红线、环境质量底线等要求融入规划，</w:t>
      </w:r>
      <w:r>
        <w:rPr>
          <w:rFonts w:hint="eastAsia" w:ascii="仿宋_GB2312" w:hAnsi="仿宋_GB2312" w:eastAsia="仿宋_GB2312" w:cs="仿宋_GB2312"/>
          <w:color w:val="auto"/>
          <w:kern w:val="2"/>
          <w:sz w:val="32"/>
          <w:szCs w:val="32"/>
          <w:highlight w:val="none"/>
          <w:lang w:val="en-US" w:eastAsia="zh-CN" w:bidi="ar-SA"/>
        </w:rPr>
        <w:t>对</w:t>
      </w:r>
      <w:r>
        <w:rPr>
          <w:rFonts w:hint="default" w:ascii="仿宋_GB2312" w:hAnsi="仿宋_GB2312" w:eastAsia="仿宋_GB2312" w:cs="仿宋_GB2312"/>
          <w:color w:val="auto"/>
          <w:kern w:val="2"/>
          <w:sz w:val="32"/>
          <w:szCs w:val="32"/>
          <w:highlight w:val="none"/>
          <w:lang w:val="en-US" w:eastAsia="zh-CN" w:bidi="ar-SA"/>
        </w:rPr>
        <w:t>推动生态修复和环境治理，促进农业绿色发展和农村生活方式转型</w:t>
      </w:r>
      <w:r>
        <w:rPr>
          <w:rFonts w:hint="eastAsia" w:ascii="仿宋_GB2312" w:hAnsi="仿宋_GB2312" w:eastAsia="仿宋_GB2312" w:cs="仿宋_GB2312"/>
          <w:color w:val="auto"/>
          <w:kern w:val="2"/>
          <w:sz w:val="32"/>
          <w:szCs w:val="32"/>
          <w:highlight w:val="none"/>
          <w:lang w:val="en-US" w:eastAsia="zh-CN" w:bidi="ar-SA"/>
        </w:rPr>
        <w:t>有着较为积极的作用，项目生态效益较好。</w:t>
      </w:r>
    </w:p>
    <w:p w14:paraId="3E4E42BC">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可持续影响</w:t>
      </w:r>
      <w:r>
        <w:rPr>
          <w:rFonts w:hint="eastAsia" w:ascii="仿宋_GB2312" w:hAnsi="仿宋_GB2312" w:eastAsia="仿宋_GB2312" w:cs="仿宋_GB2312"/>
          <w:color w:val="auto"/>
          <w:kern w:val="2"/>
          <w:sz w:val="32"/>
          <w:szCs w:val="32"/>
          <w:highlight w:val="none"/>
          <w:lang w:val="en-US" w:eastAsia="zh-CN" w:bidi="ar-SA"/>
        </w:rPr>
        <w:t>方面。项目的实施，能</w:t>
      </w:r>
      <w:r>
        <w:rPr>
          <w:rFonts w:hint="default" w:ascii="仿宋_GB2312" w:hAnsi="仿宋_GB2312" w:eastAsia="仿宋_GB2312" w:cs="仿宋_GB2312"/>
          <w:color w:val="auto"/>
          <w:kern w:val="2"/>
          <w:sz w:val="32"/>
          <w:szCs w:val="32"/>
          <w:highlight w:val="none"/>
          <w:lang w:val="en-US" w:eastAsia="zh-CN" w:bidi="ar-SA"/>
        </w:rPr>
        <w:t>为乡村长远发展提供科学指引，破解各类规划冲突问题，形成“一张蓝图干到底”的长效机制。通过明确乡村发展定位和空间管控要求，为后续乡村建设、产业发展等提供</w:t>
      </w:r>
      <w:r>
        <w:rPr>
          <w:rFonts w:hint="eastAsia" w:ascii="仿宋_GB2312" w:hAnsi="仿宋_GB2312" w:eastAsia="仿宋_GB2312" w:cs="仿宋_GB2312"/>
          <w:color w:val="auto"/>
          <w:kern w:val="2"/>
          <w:sz w:val="32"/>
          <w:szCs w:val="32"/>
          <w:highlight w:val="none"/>
          <w:lang w:val="en-US" w:eastAsia="zh-CN" w:bidi="ar-SA"/>
        </w:rPr>
        <w:t>重要依据</w:t>
      </w:r>
      <w:r>
        <w:rPr>
          <w:rFonts w:hint="eastAsia" w:ascii="仿宋_GB2312" w:hAnsi="仿宋_GB2312" w:eastAsia="仿宋_GB2312" w:cs="仿宋_GB2312"/>
          <w:color w:val="auto"/>
          <w:sz w:val="32"/>
          <w:szCs w:val="32"/>
          <w:highlight w:val="none"/>
          <w:lang w:val="en-US" w:eastAsia="zh-CN"/>
        </w:rPr>
        <w:t>，项目可持续影响较好。</w:t>
      </w:r>
    </w:p>
    <w:p w14:paraId="74DB34F4">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5.受表彰情况。项目单位相关工作2024年未受到市级以上表彰奖励。</w:t>
      </w:r>
    </w:p>
    <w:p w14:paraId="1696ECA2">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6.满意度方面。通过走访部分镇村群众和随机发放纸质调查问卷，结果显示群众整体满意度约为90.82%，大多数群众对项目的实施比较满意。但仍有一些群众对</w:t>
      </w:r>
      <w:r>
        <w:rPr>
          <w:rFonts w:hint="eastAsia" w:ascii="仿宋_GB2312" w:hAnsi="仿宋_GB2312" w:eastAsia="仿宋_GB2312" w:cs="仿宋_GB2312"/>
          <w:color w:val="auto"/>
          <w:kern w:val="2"/>
          <w:sz w:val="32"/>
          <w:szCs w:val="32"/>
          <w:highlight w:val="none"/>
          <w:lang w:val="en-US" w:eastAsia="zh-CN" w:bidi="ar-SA"/>
        </w:rPr>
        <w:t>村庄规划的具体内容不够了解，觉得村庄规划对带动乡村特色产业发展、带动村民创收增收的作用不够明显。</w:t>
      </w:r>
    </w:p>
    <w:p w14:paraId="20DC257D">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评价组认为，项目资金管理有序，经济效益，社会效益、生态效益、可持续影响较好，群众满意度较高，专项资金的社会效益作用发挥较为充分。</w:t>
      </w:r>
    </w:p>
    <w:p w14:paraId="516F534D">
      <w:pPr>
        <w:keepNext w:val="0"/>
        <w:keepLines w:val="0"/>
        <w:pageBreakBefore w:val="0"/>
        <w:widowControl/>
        <w:suppressLineNumbers w:val="0"/>
        <w:kinsoku/>
        <w:wordWrap/>
        <w:overflowPunct/>
        <w:topLinePunct w:val="0"/>
        <w:autoSpaceDE/>
        <w:autoSpaceDN/>
        <w:bidi w:val="0"/>
        <w:adjustRightInd/>
        <w:snapToGrid/>
        <w:spacing w:line="560" w:lineRule="exact"/>
        <w:ind w:firstLine="652" w:firstLineChars="200"/>
        <w:jc w:val="left"/>
        <w:textAlignment w:val="auto"/>
        <w:rPr>
          <w:rFonts w:hint="eastAsia" w:ascii="黑体" w:hAnsi="黑体" w:eastAsia="黑体" w:cs="黑体"/>
          <w:b w:val="0"/>
          <w:bCs w:val="0"/>
          <w:color w:val="auto"/>
          <w:kern w:val="2"/>
          <w:sz w:val="32"/>
          <w:szCs w:val="32"/>
          <w:highlight w:val="none"/>
          <w:lang w:val="en-US" w:eastAsia="zh-CN" w:bidi="ar-SA"/>
        </w:rPr>
      </w:pPr>
      <w:bookmarkStart w:id="1" w:name="_Toc7209"/>
      <w:bookmarkStart w:id="2" w:name="_Toc2070"/>
      <w:r>
        <w:rPr>
          <w:rFonts w:hint="eastAsia" w:ascii="黑体" w:hAnsi="黑体" w:eastAsia="黑体" w:cs="黑体"/>
          <w:b w:val="0"/>
          <w:bCs w:val="0"/>
          <w:color w:val="auto"/>
          <w:kern w:val="2"/>
          <w:sz w:val="32"/>
          <w:szCs w:val="32"/>
          <w:highlight w:val="none"/>
          <w:lang w:val="en-US" w:eastAsia="zh-CN" w:bidi="ar-SA"/>
        </w:rPr>
        <w:t>五、主要经验、做法</w:t>
      </w:r>
      <w:bookmarkEnd w:id="1"/>
      <w:bookmarkEnd w:id="2"/>
      <w:r>
        <w:rPr>
          <w:rFonts w:hint="eastAsia" w:ascii="黑体" w:hAnsi="黑体" w:eastAsia="黑体" w:cs="黑体"/>
          <w:b w:val="0"/>
          <w:bCs w:val="0"/>
          <w:color w:val="auto"/>
          <w:kern w:val="2"/>
          <w:sz w:val="32"/>
          <w:szCs w:val="32"/>
          <w:highlight w:val="none"/>
          <w:lang w:val="en-US" w:eastAsia="zh-CN" w:bidi="ar-SA"/>
        </w:rPr>
        <w:t>及亮点</w:t>
      </w:r>
    </w:p>
    <w:p w14:paraId="1FC3BE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5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（一）</w:t>
      </w:r>
      <w:r>
        <w:rPr>
          <w:rFonts w:hint="default" w:ascii="楷体" w:hAnsi="楷体" w:eastAsia="楷体" w:cs="楷体"/>
          <w:b/>
          <w:bCs/>
          <w:kern w:val="2"/>
          <w:sz w:val="32"/>
          <w:szCs w:val="32"/>
          <w:highlight w:val="none"/>
          <w:lang w:val="en-US" w:eastAsia="zh-CN" w:bidi="ar-SA"/>
        </w:rPr>
        <w:t>规划整合度高，实现“多规协同”。</w:t>
      </w:r>
      <w:r>
        <w:rPr>
          <w:rFonts w:hint="default" w:ascii="仿宋_GB2312" w:hAnsi="仿宋_GB2312" w:eastAsia="仿宋_GB2312" w:cs="仿宋_GB2312"/>
          <w:color w:val="auto"/>
          <w:sz w:val="32"/>
          <w:szCs w:val="32"/>
          <w:highlight w:val="none"/>
          <w:lang w:val="en-US" w:eastAsia="zh-CN"/>
        </w:rPr>
        <w:t>打破以往国土空间、产业发展、生态保护等规划“各自为政”的局面，通过“多规合一”实现目标、指标、空间布局的有机衔接，避免规划冲突和资源浪费，形成统筹乡村发展的“一张蓝图”。</w:t>
      </w:r>
    </w:p>
    <w:p w14:paraId="3FCD96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52"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（二）</w:t>
      </w:r>
      <w:r>
        <w:rPr>
          <w:rFonts w:hint="default" w:ascii="楷体" w:hAnsi="楷体" w:eastAsia="楷体" w:cs="楷体"/>
          <w:b/>
          <w:bCs/>
          <w:kern w:val="2"/>
          <w:sz w:val="32"/>
          <w:szCs w:val="32"/>
          <w:highlight w:val="none"/>
          <w:lang w:val="en-US" w:eastAsia="zh-CN" w:bidi="ar-SA"/>
        </w:rPr>
        <w:t>强化村民主体地位，参与机制深入。</w:t>
      </w:r>
      <w:r>
        <w:rPr>
          <w:rFonts w:hint="default" w:ascii="仿宋_GB2312" w:hAnsi="仿宋_GB2312" w:eastAsia="仿宋_GB2312" w:cs="仿宋_GB2312"/>
          <w:color w:val="auto"/>
          <w:sz w:val="32"/>
          <w:szCs w:val="32"/>
          <w:highlight w:val="none"/>
          <w:lang w:val="en-US" w:eastAsia="zh-CN"/>
        </w:rPr>
        <w:t>将村民参与贯穿规划编制全过程，通过驻村调研、村“两委”会议商议、村党员大会审议、村民代表会议决议</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村内公示等多种形式，广泛吸纳村民对产业发展、环境整治、公共服务等方面的意见，让规划充分反映村民意愿，既提升了规划的认可度，也为后续实施筑牢群众基础。</w:t>
      </w:r>
    </w:p>
    <w:p w14:paraId="2E65E37C">
      <w:pPr>
        <w:keepNext w:val="0"/>
        <w:keepLines w:val="0"/>
        <w:pageBreakBefore w:val="0"/>
        <w:widowControl/>
        <w:suppressLineNumbers w:val="0"/>
        <w:kinsoku/>
        <w:wordWrap/>
        <w:overflowPunct/>
        <w:topLinePunct w:val="0"/>
        <w:autoSpaceDE/>
        <w:autoSpaceDN/>
        <w:bidi w:val="0"/>
        <w:adjustRightInd/>
        <w:snapToGrid/>
        <w:spacing w:line="560" w:lineRule="exact"/>
        <w:ind w:firstLine="652" w:firstLineChars="200"/>
        <w:jc w:val="lef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kern w:val="2"/>
          <w:sz w:val="32"/>
          <w:szCs w:val="32"/>
          <w:highlight w:val="none"/>
          <w:lang w:val="en-US" w:eastAsia="zh-CN" w:bidi="ar-SA"/>
        </w:rPr>
        <w:t>存在的问题及原因分析</w:t>
      </w:r>
    </w:p>
    <w:p w14:paraId="4DC53153">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（一）项目制度建设有待加强。</w:t>
      </w:r>
      <w:r>
        <w:rPr>
          <w:rFonts w:hint="default" w:ascii="仿宋_GB2312" w:hAnsi="仿宋_GB2312" w:eastAsia="仿宋_GB2312" w:cs="仿宋_GB2312"/>
          <w:color w:val="auto"/>
          <w:sz w:val="32"/>
          <w:szCs w:val="32"/>
          <w:highlight w:val="none"/>
          <w:lang w:val="en-US" w:eastAsia="zh-CN"/>
        </w:rPr>
        <w:t>项目单位未结合项目特点与实际需求，制定具体详实的规划实施监督评估、成果验收</w:t>
      </w:r>
      <w:r>
        <w:rPr>
          <w:rFonts w:hint="eastAsia" w:ascii="仿宋_GB2312" w:hAnsi="仿宋_GB2312" w:eastAsia="仿宋_GB2312" w:cs="仿宋_GB2312"/>
          <w:color w:val="auto"/>
          <w:sz w:val="32"/>
          <w:szCs w:val="32"/>
          <w:highlight w:val="none"/>
          <w:lang w:val="en-US" w:eastAsia="zh-CN"/>
        </w:rPr>
        <w:t>、资料</w:t>
      </w:r>
      <w:r>
        <w:rPr>
          <w:rFonts w:hint="default" w:ascii="仿宋_GB2312" w:hAnsi="仿宋_GB2312" w:eastAsia="仿宋_GB2312" w:cs="仿宋_GB2312"/>
          <w:color w:val="auto"/>
          <w:sz w:val="32"/>
          <w:szCs w:val="32"/>
          <w:highlight w:val="none"/>
          <w:lang w:val="en-US" w:eastAsia="zh-CN"/>
        </w:rPr>
        <w:t>归档等</w:t>
      </w:r>
      <w:r>
        <w:rPr>
          <w:rFonts w:hint="eastAsia" w:ascii="仿宋_GB2312" w:hAnsi="仿宋_GB2312" w:eastAsia="仿宋_GB2312" w:cs="仿宋_GB2312"/>
          <w:color w:val="auto"/>
          <w:sz w:val="32"/>
          <w:szCs w:val="32"/>
          <w:highlight w:val="none"/>
          <w:lang w:val="en-US" w:eastAsia="zh-CN"/>
        </w:rPr>
        <w:t>管理</w:t>
      </w:r>
      <w:r>
        <w:rPr>
          <w:rFonts w:hint="default" w:ascii="仿宋_GB2312" w:hAnsi="仿宋_GB2312" w:eastAsia="仿宋_GB2312" w:cs="仿宋_GB2312"/>
          <w:color w:val="auto"/>
          <w:sz w:val="32"/>
          <w:szCs w:val="32"/>
          <w:highlight w:val="none"/>
          <w:lang w:val="en-US" w:eastAsia="zh-CN"/>
        </w:rPr>
        <w:t>制度，在制度健全性上存在一定的提升空间。</w:t>
      </w:r>
    </w:p>
    <w:p w14:paraId="4BFF121B">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（二）合同签订不够规范。</w:t>
      </w:r>
      <w:r>
        <w:rPr>
          <w:rFonts w:hint="eastAsia" w:ascii="仿宋_GB2312" w:hAnsi="仿宋_GB2312" w:eastAsia="仿宋_GB2312" w:cs="仿宋_GB2312"/>
          <w:color w:val="auto"/>
          <w:sz w:val="32"/>
          <w:szCs w:val="32"/>
          <w:highlight w:val="none"/>
          <w:lang w:val="en-US" w:eastAsia="zh-CN"/>
        </w:rPr>
        <w:t>扶风县2024年村庄规划编制项目7个标段、扶风县镇级国土空间规划和村庄规划编制项目Ⅸ标段、X标段、XI标段的合同均未明确合同签订日期，而合同中却约定编制周期自合同签订之日起开始计算，导致项目完成时限无法准确判定，合同签订的规范性有待提升。</w:t>
      </w:r>
    </w:p>
    <w:p w14:paraId="69C8D3C7">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（三）项目绩效管理工作不够扎实。</w:t>
      </w:r>
      <w:r>
        <w:rPr>
          <w:rFonts w:hint="eastAsia" w:ascii="仿宋_GB2312" w:hAnsi="仿宋_GB2312" w:eastAsia="仿宋_GB2312" w:cs="仿宋_GB2312"/>
          <w:color w:val="auto"/>
          <w:kern w:val="2"/>
          <w:sz w:val="32"/>
          <w:szCs w:val="32"/>
          <w:highlight w:val="none"/>
          <w:lang w:val="en-US" w:eastAsia="zh-CN" w:bidi="ar-SA"/>
        </w:rPr>
        <w:t>尽管项目实施单位已开展了绩效管理工作，事前有项目绩效目标，事后进行了绩效目标完成情况考核和自评工作，也编制了项目绩效自评报告。但仍存在着个别绩效目标设置不合理、不规范，自评报告不详实等问题。</w:t>
      </w:r>
    </w:p>
    <w:p w14:paraId="10E97926">
      <w:pPr>
        <w:keepNext w:val="0"/>
        <w:keepLines w:val="0"/>
        <w:pageBreakBefore w:val="0"/>
        <w:widowControl/>
        <w:suppressLineNumbers w:val="0"/>
        <w:kinsoku/>
        <w:wordWrap/>
        <w:overflowPunct/>
        <w:topLinePunct w:val="0"/>
        <w:autoSpaceDE/>
        <w:autoSpaceDN/>
        <w:bidi w:val="0"/>
        <w:adjustRightInd/>
        <w:snapToGrid/>
        <w:spacing w:line="560" w:lineRule="exact"/>
        <w:ind w:firstLine="652" w:firstLineChars="200"/>
        <w:jc w:val="left"/>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七、相关建议</w:t>
      </w:r>
    </w:p>
    <w:p w14:paraId="11C21DB6">
      <w:pPr>
        <w:keepNext w:val="0"/>
        <w:keepLines w:val="0"/>
        <w:pageBreakBefore w:val="0"/>
        <w:widowControl w:val="0"/>
        <w:kinsoku/>
        <w:wordWrap/>
        <w:overflowPunct/>
        <w:topLinePunct w:val="0"/>
        <w:autoSpaceDE/>
        <w:autoSpaceDN/>
        <w:bidi w:val="0"/>
        <w:adjustRightInd/>
        <w:snapToGrid/>
        <w:spacing w:line="560" w:lineRule="exact"/>
        <w:ind w:left="0" w:leftChars="0" w:firstLine="65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（一）加强制度建设，强化制度执行。</w:t>
      </w:r>
      <w:r>
        <w:rPr>
          <w:rFonts w:hint="eastAsia" w:ascii="仿宋_GB2312" w:hAnsi="仿宋_GB2312" w:eastAsia="仿宋_GB2312" w:cs="仿宋_GB2312"/>
          <w:color w:val="auto"/>
          <w:kern w:val="2"/>
          <w:sz w:val="32"/>
          <w:szCs w:val="32"/>
          <w:highlight w:val="none"/>
          <w:lang w:val="en-US" w:eastAsia="zh-CN" w:bidi="ar-SA"/>
        </w:rPr>
        <w:t>一方面，项目单位要结合行业标准与项目实际需求，</w:t>
      </w:r>
      <w:r>
        <w:rPr>
          <w:rFonts w:hint="default" w:ascii="仿宋_GB2312" w:hAnsi="仿宋_GB2312" w:eastAsia="仿宋_GB2312" w:cs="仿宋_GB2312"/>
          <w:color w:val="auto"/>
          <w:kern w:val="2"/>
          <w:sz w:val="32"/>
          <w:szCs w:val="32"/>
          <w:highlight w:val="none"/>
          <w:lang w:val="en-US" w:eastAsia="zh-CN" w:bidi="ar-SA"/>
        </w:rPr>
        <w:t>明确</w:t>
      </w:r>
      <w:r>
        <w:rPr>
          <w:rFonts w:hint="eastAsia" w:ascii="仿宋_GB2312" w:hAnsi="仿宋_GB2312" w:eastAsia="仿宋_GB2312" w:cs="仿宋_GB2312"/>
          <w:color w:val="auto"/>
          <w:kern w:val="2"/>
          <w:sz w:val="32"/>
          <w:szCs w:val="32"/>
          <w:highlight w:val="none"/>
          <w:lang w:val="en-US" w:eastAsia="zh-CN" w:bidi="ar-SA"/>
        </w:rPr>
        <w:t>项目实施中</w:t>
      </w:r>
      <w:r>
        <w:rPr>
          <w:rFonts w:hint="default" w:ascii="仿宋_GB2312" w:hAnsi="仿宋_GB2312" w:eastAsia="仿宋_GB2312" w:cs="仿宋_GB2312"/>
          <w:color w:val="auto"/>
          <w:kern w:val="2"/>
          <w:sz w:val="32"/>
          <w:szCs w:val="32"/>
          <w:highlight w:val="none"/>
          <w:lang w:val="en-US" w:eastAsia="zh-CN" w:bidi="ar-SA"/>
        </w:rPr>
        <w:t>的监督主体、</w:t>
      </w:r>
      <w:r>
        <w:rPr>
          <w:rFonts w:hint="eastAsia" w:ascii="仿宋_GB2312" w:hAnsi="仿宋_GB2312" w:eastAsia="仿宋_GB2312" w:cs="仿宋_GB2312"/>
          <w:color w:val="auto"/>
          <w:kern w:val="2"/>
          <w:sz w:val="32"/>
          <w:szCs w:val="32"/>
          <w:highlight w:val="none"/>
          <w:lang w:val="en-US" w:eastAsia="zh-CN" w:bidi="ar-SA"/>
        </w:rPr>
        <w:t>编制要求、</w:t>
      </w:r>
      <w:r>
        <w:rPr>
          <w:rFonts w:hint="default" w:ascii="仿宋_GB2312" w:hAnsi="仿宋_GB2312" w:eastAsia="仿宋_GB2312" w:cs="仿宋_GB2312"/>
          <w:color w:val="auto"/>
          <w:kern w:val="2"/>
          <w:sz w:val="32"/>
          <w:szCs w:val="32"/>
          <w:highlight w:val="none"/>
          <w:lang w:val="en-US" w:eastAsia="zh-CN" w:bidi="ar-SA"/>
        </w:rPr>
        <w:t>成果验收与归档</w:t>
      </w:r>
      <w:r>
        <w:rPr>
          <w:rFonts w:hint="eastAsia" w:ascii="仿宋_GB2312" w:hAnsi="仿宋_GB2312" w:eastAsia="仿宋_GB2312" w:cs="仿宋_GB2312"/>
          <w:color w:val="auto"/>
          <w:kern w:val="2"/>
          <w:sz w:val="32"/>
          <w:szCs w:val="32"/>
          <w:highlight w:val="none"/>
          <w:lang w:val="en-US" w:eastAsia="zh-CN" w:bidi="ar-SA"/>
        </w:rPr>
        <w:t>等</w:t>
      </w:r>
      <w:r>
        <w:rPr>
          <w:rFonts w:hint="default" w:ascii="仿宋_GB2312" w:hAnsi="仿宋_GB2312" w:eastAsia="仿宋_GB2312" w:cs="仿宋_GB2312"/>
          <w:color w:val="auto"/>
          <w:kern w:val="2"/>
          <w:sz w:val="32"/>
          <w:szCs w:val="32"/>
          <w:highlight w:val="none"/>
          <w:lang w:val="en-US" w:eastAsia="zh-CN" w:bidi="ar-SA"/>
        </w:rPr>
        <w:t>关键指标</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细化验收标准、验收流程（如“初审+复审+终审”环节，村民代表参与验收的机制）、归档要求（电子档案与纸质档案的格式、保存期限、查阅权限，与上级部门备案的衔接流程</w:t>
      </w:r>
      <w:r>
        <w:rPr>
          <w:rFonts w:hint="eastAsia" w:ascii="仿宋_GB2312" w:hAnsi="仿宋_GB2312" w:eastAsia="仿宋_GB2312" w:cs="仿宋_GB2312"/>
          <w:color w:val="auto"/>
          <w:kern w:val="2"/>
          <w:sz w:val="32"/>
          <w:szCs w:val="32"/>
          <w:highlight w:val="none"/>
          <w:lang w:val="en-US" w:eastAsia="zh-CN" w:bidi="ar-SA"/>
        </w:rPr>
        <w:t>等</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明确项目单位、编制团队、乡镇村集体、村民等各方在规划实施、问题整改中的权责</w:t>
      </w:r>
      <w:r>
        <w:rPr>
          <w:rFonts w:hint="eastAsia" w:ascii="仿宋_GB2312" w:hAnsi="仿宋_GB2312" w:eastAsia="仿宋_GB2312" w:cs="仿宋_GB2312"/>
          <w:color w:val="auto"/>
          <w:kern w:val="2"/>
          <w:sz w:val="32"/>
          <w:szCs w:val="32"/>
          <w:highlight w:val="none"/>
          <w:lang w:val="en-US" w:eastAsia="zh-CN" w:bidi="ar-SA"/>
        </w:rPr>
        <w:t>，制定涵盖项目规划、质量监督、验收评估等全流程的专项管理制度。另一方面，对现有制度进行全面梳理与修订，补充明确执行日期，并按规定流程加盖公章，同时建立制度动态更新机制，定期根据项目进展与政策变化进行优化调整，强化制度的执行力与权威性。</w:t>
      </w:r>
    </w:p>
    <w:p w14:paraId="40CC685C">
      <w:pPr>
        <w:pStyle w:val="10"/>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52"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（二）</w:t>
      </w:r>
      <w:r>
        <w:rPr>
          <w:rFonts w:hint="eastAsia" w:ascii="楷体" w:hAnsi="楷体" w:eastAsia="楷体" w:cs="楷体"/>
          <w:b/>
          <w:bCs/>
          <w:color w:val="auto"/>
          <w:kern w:val="2"/>
          <w:sz w:val="32"/>
          <w:szCs w:val="32"/>
          <w:highlight w:val="none"/>
          <w:lang w:val="en-US" w:eastAsia="zh-CN" w:bidi="ar-SA"/>
        </w:rPr>
        <w:t>加强合同管理，规范合同签订。</w:t>
      </w:r>
      <w:r>
        <w:rPr>
          <w:rFonts w:hint="eastAsia" w:ascii="仿宋" w:hAnsi="仿宋" w:eastAsia="仿宋" w:cs="仿宋"/>
          <w:color w:val="auto"/>
          <w:sz w:val="32"/>
          <w:szCs w:val="32"/>
          <w:highlight w:val="none"/>
          <w:lang w:val="en-US" w:eastAsia="zh-CN" w:bidi="ar-SA"/>
        </w:rPr>
        <w:t>项目单位应在合同签订过程中强化合同管理意识，加强合同风险防范意识，增强合同履约过程控制意识，建立以合同管理为核心的管理机制，理顺各方关系，形成有机运行体系；在合同签订过程中认真研究、理解、运用合同条款，规范化签订合同，通过规范化的签订来约束双方行为，明确双方责任和义务，保障双方利益，降低合同风险，促使项目平稳、有序、高效地运行。</w:t>
      </w:r>
    </w:p>
    <w:p w14:paraId="14F240C1">
      <w:pPr>
        <w:keepNext w:val="0"/>
        <w:keepLines w:val="0"/>
        <w:pageBreakBefore w:val="0"/>
        <w:widowControl w:val="0"/>
        <w:kinsoku/>
        <w:wordWrap/>
        <w:overflowPunct/>
        <w:topLinePunct w:val="0"/>
        <w:autoSpaceDE/>
        <w:autoSpaceDN/>
        <w:bidi w:val="0"/>
        <w:adjustRightInd/>
        <w:snapToGrid/>
        <w:spacing w:line="560" w:lineRule="exact"/>
        <w:ind w:left="0" w:firstLine="652" w:firstLineChars="200"/>
        <w:textAlignment w:val="auto"/>
        <w:rPr>
          <w:rFonts w:hint="eastAsia" w:ascii="楷体" w:hAnsi="楷体" w:eastAsia="楷体" w:cs="楷体"/>
          <w:b/>
          <w:bCs/>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（三）</w:t>
      </w:r>
      <w:r>
        <w:rPr>
          <w:rFonts w:hint="default" w:ascii="楷体" w:hAnsi="楷体" w:eastAsia="楷体" w:cs="楷体"/>
          <w:b/>
          <w:bCs/>
          <w:color w:val="auto"/>
          <w:kern w:val="2"/>
          <w:sz w:val="32"/>
          <w:szCs w:val="32"/>
          <w:highlight w:val="none"/>
          <w:lang w:val="en-US" w:eastAsia="zh-CN" w:bidi="ar-SA"/>
        </w:rPr>
        <w:fldChar w:fldCharType="begin"/>
      </w:r>
      <w:r>
        <w:rPr>
          <w:rFonts w:hint="default" w:ascii="楷体" w:hAnsi="楷体" w:eastAsia="楷体" w:cs="楷体"/>
          <w:b/>
          <w:bCs/>
          <w:color w:val="auto"/>
          <w:kern w:val="2"/>
          <w:sz w:val="32"/>
          <w:szCs w:val="32"/>
          <w:highlight w:val="none"/>
          <w:lang w:val="en-US" w:eastAsia="zh-CN" w:bidi="ar-SA"/>
        </w:rPr>
        <w:instrText xml:space="preserve"> HYPERLINK "https://www.so.com/link?m=b2vXtyjXZMuBwFDYkdRimUwV270Tsd/pD5H4142xP/mAg30wiKok+nJwMyBTAoRPfXDjyT3YIryqtLVSAFDZBjbDa3i/J9wHK5mya6kdlea/bu0Mj18LeIr1sxAv/dZ8yBqLmA8jha/CS/LKmOkkjvoiJXgdOizd6dvjDcs6CpzoA7UBqJWTb5b3xArx16bm3DfaHHexLjsaNRevwrUqxprDtAntKQvJgZ9fccmbSYPrb0W67sKFn9vjnhqk1sjaT5/oaQhG7Np9SwVhJ2okmrAtIvI2KoIaWupQMIUxJRf9BZcmY3owdNV+t+P/+gRU6QkwP7obnaoxdrI1WLYqUY5nAS02UKySm0bod7wVL1igLbsyvlvCLMUl6b9Eg0gma/YuxLA==" \t "https://www.so.com/_blank" </w:instrText>
      </w:r>
      <w:r>
        <w:rPr>
          <w:rFonts w:hint="default" w:ascii="楷体" w:hAnsi="楷体" w:eastAsia="楷体" w:cs="楷体"/>
          <w:b/>
          <w:bCs/>
          <w:color w:val="auto"/>
          <w:kern w:val="2"/>
          <w:sz w:val="32"/>
          <w:szCs w:val="32"/>
          <w:highlight w:val="none"/>
          <w:lang w:val="en-US" w:eastAsia="zh-CN" w:bidi="ar-SA"/>
        </w:rPr>
        <w:fldChar w:fldCharType="separate"/>
      </w:r>
      <w:r>
        <w:rPr>
          <w:rFonts w:hint="default" w:ascii="楷体" w:hAnsi="楷体" w:eastAsia="楷体" w:cs="楷体"/>
          <w:b/>
          <w:bCs/>
          <w:color w:val="auto"/>
          <w:kern w:val="2"/>
          <w:sz w:val="32"/>
          <w:szCs w:val="32"/>
          <w:highlight w:val="none"/>
          <w:lang w:val="en-US" w:eastAsia="zh-CN" w:bidi="ar-SA"/>
        </w:rPr>
        <w:t>加强项目绩效管理</w:t>
      </w:r>
      <w:r>
        <w:rPr>
          <w:rFonts w:hint="eastAsia" w:ascii="楷体" w:hAnsi="楷体" w:eastAsia="楷体" w:cs="楷体"/>
          <w:b/>
          <w:bCs/>
          <w:color w:val="auto"/>
          <w:kern w:val="2"/>
          <w:sz w:val="32"/>
          <w:szCs w:val="32"/>
          <w:highlight w:val="none"/>
          <w:lang w:val="en-US" w:eastAsia="zh-CN" w:bidi="ar-SA"/>
        </w:rPr>
        <w:t>，</w:t>
      </w:r>
      <w:r>
        <w:rPr>
          <w:rFonts w:hint="default" w:ascii="楷体" w:hAnsi="楷体" w:eastAsia="楷体" w:cs="楷体"/>
          <w:b/>
          <w:bCs/>
          <w:color w:val="auto"/>
          <w:kern w:val="2"/>
          <w:sz w:val="32"/>
          <w:szCs w:val="32"/>
          <w:highlight w:val="none"/>
          <w:lang w:val="en-US" w:eastAsia="zh-CN" w:bidi="ar-SA"/>
        </w:rPr>
        <w:t>发挥财政资金使用效率</w:t>
      </w:r>
      <w:r>
        <w:rPr>
          <w:rFonts w:hint="default" w:ascii="楷体" w:hAnsi="楷体" w:eastAsia="楷体" w:cs="楷体"/>
          <w:b/>
          <w:bCs/>
          <w:color w:val="auto"/>
          <w:kern w:val="2"/>
          <w:sz w:val="32"/>
          <w:szCs w:val="32"/>
          <w:highlight w:val="none"/>
          <w:lang w:val="en-US" w:eastAsia="zh-CN" w:bidi="ar-SA"/>
        </w:rPr>
        <w:fldChar w:fldCharType="end"/>
      </w:r>
      <w:r>
        <w:rPr>
          <w:rFonts w:hint="eastAsia" w:ascii="楷体" w:hAnsi="楷体" w:eastAsia="楷体" w:cs="楷体"/>
          <w:b/>
          <w:bCs/>
          <w:color w:val="auto"/>
          <w:kern w:val="2"/>
          <w:sz w:val="32"/>
          <w:szCs w:val="32"/>
          <w:highlight w:val="none"/>
          <w:lang w:val="en-US" w:eastAsia="zh-CN" w:bidi="ar-SA"/>
        </w:rPr>
        <w:t>。</w:t>
      </w:r>
      <w:r>
        <w:rPr>
          <w:rFonts w:hint="eastAsia" w:ascii="仿宋_GB2312" w:hAnsi="仿宋_GB2312" w:eastAsia="仿宋_GB2312" w:cs="仿宋_GB2312"/>
          <w:kern w:val="2"/>
          <w:sz w:val="32"/>
          <w:szCs w:val="32"/>
          <w:lang w:val="en-US" w:eastAsia="zh-CN" w:bidi="ar-SA"/>
        </w:rPr>
        <w:t>一是项目单位要强化预算绩效目标管理，科学设置项目绩效目标，</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HYPERLINK "https://www.so.com/link?m=bi3R41Ewdd5mEguxzKHLJ0zRK9RCMpbIE2ohWRNgO+nbr7/MK322ZLB+nUyMJaIS/zPAt0Iy7kJ6updQyJj7q74l2KsT+8LTwogzKMLWZXlqrPFSZwry0iEQqSBiN9pbdSjnNJDPvQ7sPJsQH3c47w0pVhevl1fm+xbwiCme6DJL+sUfbAAUOS6XsQ9kabDDRLdm0MRhmD1cOjuAD17a62yPAihHBZCfAhbRrWmTkgrxbIDW+nGR8LLUvtxMoJur/q8fv1gGy6bCGxiNmHQkAiDWUF/6dbdbI4KyHnGEtk8HYxm61Ibfz6J+ygfbBSIxdozCDYwcmfeXFE+H4a//WbkfIr4ZRMHn8i1ODMmqr+AHDI7ZlsHxk5Z5aUg63ATuqrGEddxQWpqM=" \t "https://www.so.com/_blank"</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切实增强绩效目标的完整性、相关性、适当性和可行性</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确保项目绩效目标与政策目标、社会公众需求、财政投入规模、部门职责职能、项目实施计划等相匹配；二是项目单位要切实担负起预算绩效管理主体责任，进一步完善内部管理机制，严格按照既定的项目绩效目标指标任务，制定确保项目目标实现的保障措施，同时，要加强预算绩效管理的监督检查力度，着力</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HYPERLINK "https://www.so.com/link?m=bnd0CS7m7t9AaAvPB2vH3BRP3/yfQNsp7znNkGwWuAe2gRUIUiYZWEEBblmgEYi8HDloBvW8bC0mfHnSxA9UV1RBK/q3fx8zjIVpaTUgIaI3PDpZjJw+1eKU+k5YLUEFStmegNVtQIutFjMVz2F2ygLqp5a5M4MsKcIfm1NDvADG/SVEEgtZsLfSEEFShYsXI52EGDRCuBmB4+bEXdNWf7HQiuw3pahee5pto3xMW5uZP03jp72j5kYnxo5Z8Oll7hG6fwixOvCgwBFnMyWQeGVuYLi05PdBLV6tdSyohm7xKa/ACeP3f3vzV8oTGbts7" \t "https://www.so.com/_blank"</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提高财政资金使用效益</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；三是项目实施单位要扎实开展绩效自评工作，通过对项目相关制度建立情</w:t>
      </w:r>
      <w:r>
        <w:rPr>
          <w:rFonts w:hint="eastAsia" w:ascii="仿宋_GB2312" w:hAnsi="仿宋_GB2312" w:eastAsia="仿宋_GB2312" w:cs="仿宋_GB2312"/>
          <w:kern w:val="2"/>
          <w:sz w:val="32"/>
          <w:szCs w:val="32"/>
          <w:highlight w:val="none"/>
          <w:lang w:val="en-US" w:eastAsia="zh-CN" w:bidi="ar-SA"/>
        </w:rPr>
        <w:t>况、</w:t>
      </w:r>
      <w:r>
        <w:rPr>
          <w:rFonts w:hint="eastAsia" w:ascii="仿宋_GB2312" w:hAnsi="仿宋_GB2312" w:eastAsia="仿宋_GB2312" w:cs="仿宋_GB2312"/>
          <w:b w:val="0"/>
          <w:bCs w:val="0"/>
          <w:kern w:val="2"/>
          <w:sz w:val="32"/>
          <w:szCs w:val="32"/>
          <w:highlight w:val="none"/>
          <w:lang w:val="en-US" w:eastAsia="zh-CN" w:bidi="ar-SA"/>
        </w:rPr>
        <w:t>资金</w:t>
      </w:r>
      <w:r>
        <w:rPr>
          <w:rFonts w:hint="eastAsia" w:ascii="仿宋_GB2312" w:hAnsi="仿宋_GB2312" w:eastAsia="仿宋_GB2312" w:cs="仿宋_GB2312"/>
          <w:kern w:val="2"/>
          <w:sz w:val="32"/>
          <w:szCs w:val="32"/>
          <w:highlight w:val="none"/>
          <w:lang w:val="en-US" w:eastAsia="zh-CN" w:bidi="ar-SA"/>
        </w:rPr>
        <w:t>使</w:t>
      </w:r>
      <w:r>
        <w:rPr>
          <w:rFonts w:hint="eastAsia" w:ascii="仿宋_GB2312" w:hAnsi="仿宋_GB2312" w:eastAsia="仿宋_GB2312" w:cs="仿宋_GB2312"/>
          <w:kern w:val="2"/>
          <w:sz w:val="32"/>
          <w:szCs w:val="32"/>
          <w:lang w:val="en-US" w:eastAsia="zh-CN" w:bidi="ar-SA"/>
        </w:rPr>
        <w:t>用情况、绩效目标实现等情况进行自我评价，分析存在问题及原因，及时总结经验，改进管理措施，有效提高资金管理水平和使用效益</w:t>
      </w:r>
      <w:r>
        <w:rPr>
          <w:rFonts w:hint="eastAsia" w:ascii="仿宋_GB2312" w:hAnsi="仿宋_GB2312" w:eastAsia="仿宋_GB2312" w:cs="仿宋_GB2312"/>
          <w:color w:val="auto"/>
          <w:kern w:val="2"/>
          <w:sz w:val="32"/>
          <w:szCs w:val="32"/>
          <w:highlight w:val="none"/>
          <w:lang w:val="en-US" w:eastAsia="zh-CN" w:bidi="ar-SA"/>
        </w:rPr>
        <w:t>。</w:t>
      </w:r>
    </w:p>
    <w:p w14:paraId="09DA87A1">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p>
    <w:p w14:paraId="5FC4A336">
      <w:pPr>
        <w:pStyle w:val="2"/>
        <w:rPr>
          <w:rFonts w:hint="eastAsia"/>
        </w:rPr>
      </w:pPr>
    </w:p>
    <w:p w14:paraId="439FAD1C">
      <w:pPr>
        <w:keepNext w:val="0"/>
        <w:keepLines w:val="0"/>
        <w:pageBreakBefore w:val="0"/>
        <w:widowControl w:val="0"/>
        <w:kinsoku/>
        <w:wordWrap/>
        <w:overflowPunct/>
        <w:topLinePunct w:val="0"/>
        <w:autoSpaceDE/>
        <w:autoSpaceDN/>
        <w:bidi w:val="0"/>
        <w:adjustRightInd/>
        <w:snapToGrid/>
        <w:spacing w:line="560" w:lineRule="exact"/>
        <w:ind w:right="0" w:firstLine="652"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eastAsia="zh-CN"/>
        </w:rPr>
        <w:t>：2024年扶风县“多规合一”实用性村庄规划编制项目</w:t>
      </w:r>
      <w:r>
        <w:rPr>
          <w:rFonts w:hint="eastAsia" w:ascii="仿宋_GB2312" w:hAnsi="仿宋_GB2312" w:eastAsia="仿宋_GB2312" w:cs="仿宋_GB2312"/>
          <w:color w:val="auto"/>
          <w:sz w:val="32"/>
          <w:szCs w:val="32"/>
          <w:highlight w:val="none"/>
          <w:lang w:val="en-US" w:eastAsia="zh-CN"/>
        </w:rPr>
        <w:t>绩效评价指标体系及评分表</w:t>
      </w:r>
    </w:p>
    <w:p w14:paraId="0BCE953D">
      <w:pPr>
        <w:keepNext w:val="0"/>
        <w:keepLines w:val="0"/>
        <w:pageBreakBefore w:val="0"/>
        <w:widowControl w:val="0"/>
        <w:kinsoku/>
        <w:wordWrap/>
        <w:overflowPunct/>
        <w:topLinePunct w:val="0"/>
        <w:autoSpaceDE/>
        <w:autoSpaceDN/>
        <w:bidi w:val="0"/>
        <w:adjustRightInd/>
        <w:snapToGrid/>
        <w:spacing w:line="660" w:lineRule="exact"/>
        <w:ind w:firstLine="326" w:firstLine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74A24FFD">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52"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1FD3E31D">
      <w:pPr>
        <w:pStyle w:val="10"/>
        <w:rPr>
          <w:rFonts w:hint="eastAsia"/>
          <w:color w:val="auto"/>
          <w:lang w:val="en-US" w:eastAsia="zh-CN"/>
        </w:rPr>
      </w:pPr>
    </w:p>
    <w:p w14:paraId="1AE78715">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right="0" w:firstLine="4890" w:firstLineChars="1500"/>
        <w:jc w:val="both"/>
        <w:textAlignment w:val="auto"/>
        <w:outlineLvl w:val="0"/>
        <w:rPr>
          <w:rFonts w:hint="eastAsia" w:ascii="仿宋_GB2312" w:hAnsi="仿宋_GB2312" w:eastAsia="仿宋_GB2312" w:cs="仿宋_GB2312"/>
          <w:color w:val="auto"/>
          <w:sz w:val="32"/>
          <w:szCs w:val="32"/>
          <w:highlight w:val="none"/>
        </w:rPr>
      </w:pPr>
      <w:r>
        <w:rPr>
          <w:rFonts w:hint="eastAsia" w:ascii="仿宋_GB2312" w:hAnsi="宋体" w:eastAsia="仿宋_GB2312" w:cs="宋体"/>
          <w:color w:val="auto"/>
          <w:spacing w:val="0"/>
          <w:kern w:val="0"/>
          <w:sz w:val="32"/>
          <w:szCs w:val="32"/>
          <w:highlight w:val="none"/>
          <w:lang w:val="en-US" w:eastAsia="zh-CN"/>
        </w:rPr>
        <w:t>扶风县财政局</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w:t>
      </w:r>
    </w:p>
    <w:p w14:paraId="05AA0129">
      <w:pPr>
        <w:keepNext w:val="0"/>
        <w:keepLines w:val="0"/>
        <w:pageBreakBefore w:val="0"/>
        <w:widowControl w:val="0"/>
        <w:tabs>
          <w:tab w:val="left" w:pos="7050"/>
          <w:tab w:val="left" w:pos="7200"/>
        </w:tabs>
        <w:kinsoku/>
        <w:wordWrap/>
        <w:overflowPunct/>
        <w:topLinePunct w:val="0"/>
        <w:autoSpaceDE/>
        <w:autoSpaceDN/>
        <w:bidi w:val="0"/>
        <w:adjustRightInd/>
        <w:snapToGrid/>
        <w:spacing w:line="660" w:lineRule="exact"/>
        <w:ind w:left="0" w:leftChars="0" w:right="0" w:firstLine="652" w:firstLineChars="200"/>
        <w:jc w:val="center"/>
        <w:textAlignment w:val="auto"/>
        <w:outlineLvl w:val="0"/>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w:t>
      </w:r>
    </w:p>
    <w:p w14:paraId="74FF55D7">
      <w:pPr>
        <w:outlineLvl w:val="0"/>
        <w:rPr>
          <w:rFonts w:hint="eastAsia" w:ascii="黑体" w:hAnsi="黑体" w:eastAsia="黑体" w:cs="黑体"/>
          <w:color w:val="auto"/>
          <w:sz w:val="32"/>
          <w:szCs w:val="32"/>
          <w:highlight w:val="none"/>
        </w:rPr>
      </w:pPr>
    </w:p>
    <w:p w14:paraId="6FBD518A">
      <w:pPr>
        <w:outlineLvl w:val="0"/>
        <w:rPr>
          <w:rFonts w:hint="eastAsia" w:ascii="黑体" w:hAnsi="黑体" w:eastAsia="黑体" w:cs="黑体"/>
          <w:color w:val="auto"/>
          <w:sz w:val="32"/>
          <w:szCs w:val="32"/>
          <w:highlight w:val="none"/>
        </w:rPr>
      </w:pPr>
    </w:p>
    <w:p w14:paraId="1E5B4B4C">
      <w:pPr>
        <w:outlineLvl w:val="0"/>
        <w:rPr>
          <w:rFonts w:hint="eastAsia" w:ascii="黑体" w:hAnsi="黑体" w:eastAsia="黑体" w:cs="黑体"/>
          <w:color w:val="auto"/>
          <w:sz w:val="32"/>
          <w:szCs w:val="32"/>
          <w:highlight w:val="none"/>
        </w:rPr>
      </w:pPr>
    </w:p>
    <w:p w14:paraId="4141C746">
      <w:pPr>
        <w:outlineLvl w:val="0"/>
        <w:rPr>
          <w:rFonts w:hint="eastAsia" w:ascii="黑体" w:hAnsi="黑体" w:eastAsia="黑体" w:cs="黑体"/>
          <w:color w:val="auto"/>
          <w:sz w:val="32"/>
          <w:szCs w:val="32"/>
          <w:highlight w:val="none"/>
        </w:rPr>
      </w:pPr>
    </w:p>
    <w:p w14:paraId="17E10E52">
      <w:pPr>
        <w:outlineLvl w:val="0"/>
        <w:rPr>
          <w:rFonts w:hint="eastAsia" w:ascii="黑体" w:hAnsi="黑体" w:eastAsia="黑体" w:cs="黑体"/>
          <w:color w:val="auto"/>
          <w:sz w:val="32"/>
          <w:szCs w:val="32"/>
          <w:highlight w:val="none"/>
        </w:rPr>
      </w:pPr>
    </w:p>
    <w:p w14:paraId="50EFC649">
      <w:pPr>
        <w:outlineLvl w:val="0"/>
        <w:rPr>
          <w:rFonts w:hint="eastAsia" w:ascii="黑体" w:hAnsi="黑体" w:eastAsia="黑体" w:cs="黑体"/>
          <w:color w:val="auto"/>
          <w:sz w:val="32"/>
          <w:szCs w:val="32"/>
          <w:highlight w:val="none"/>
        </w:rPr>
      </w:pPr>
    </w:p>
    <w:p w14:paraId="51792FB8">
      <w:pPr>
        <w:outlineLvl w:val="0"/>
        <w:rPr>
          <w:rFonts w:hint="eastAsia" w:ascii="黑体" w:hAnsi="黑体" w:eastAsia="黑体" w:cs="黑体"/>
          <w:color w:val="auto"/>
          <w:sz w:val="32"/>
          <w:szCs w:val="32"/>
          <w:highlight w:val="none"/>
        </w:rPr>
      </w:pPr>
    </w:p>
    <w:p w14:paraId="530A7498">
      <w:pPr>
        <w:outlineLvl w:val="0"/>
        <w:rPr>
          <w:rFonts w:hint="eastAsia" w:ascii="黑体" w:hAnsi="黑体" w:eastAsia="黑体" w:cs="黑体"/>
          <w:color w:val="auto"/>
          <w:sz w:val="32"/>
          <w:szCs w:val="32"/>
          <w:highlight w:val="none"/>
        </w:rPr>
      </w:pPr>
    </w:p>
    <w:p w14:paraId="18B9F3D4">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ascii="黑体" w:hAnsi="黑体" w:eastAsia="黑体" w:cs="黑体"/>
          <w:color w:val="auto"/>
          <w:sz w:val="32"/>
          <w:szCs w:val="32"/>
          <w:highlight w:val="none"/>
        </w:rPr>
        <w:sectPr>
          <w:pgSz w:w="11906" w:h="16838"/>
          <w:pgMar w:top="1417" w:right="1559" w:bottom="1417" w:left="1701" w:header="851" w:footer="992" w:gutter="0"/>
          <w:pgBorders>
            <w:top w:val="none" w:sz="0" w:space="0"/>
            <w:left w:val="none" w:sz="0" w:space="0"/>
            <w:bottom w:val="none" w:sz="0" w:space="0"/>
            <w:right w:val="none" w:sz="0" w:space="0"/>
          </w:pgBorders>
          <w:pgNumType w:fmt="decimal"/>
          <w:cols w:space="0" w:num="1"/>
          <w:titlePg/>
          <w:rtlGutter w:val="0"/>
          <w:docGrid w:type="linesAndChars" w:linePitch="332" w:charSpace="1259"/>
        </w:sectPr>
      </w:pPr>
    </w:p>
    <w:p w14:paraId="6EEE20B5">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eastAsia="黑体"/>
          <w:b/>
          <w:bCs/>
          <w:sz w:val="32"/>
          <w:szCs w:val="32"/>
          <w:lang w:eastAsia="zh-CN"/>
        </w:rPr>
      </w:pPr>
      <w:r>
        <w:rPr>
          <w:rFonts w:hint="eastAsia" w:ascii="黑体" w:hAnsi="黑体" w:eastAsia="黑体" w:cs="黑体"/>
          <w:color w:val="auto"/>
          <w:sz w:val="32"/>
          <w:szCs w:val="32"/>
          <w:highlight w:val="none"/>
        </w:rPr>
        <w:t>附件</w:t>
      </w:r>
    </w:p>
    <w:p w14:paraId="0DCE1D33">
      <w:pPr>
        <w:pStyle w:val="10"/>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b w:val="0"/>
          <w:bCs w:val="0"/>
          <w:sz w:val="32"/>
          <w:szCs w:val="32"/>
          <w:lang w:eastAsia="zh-CN"/>
        </w:rPr>
        <w:t>2024年扶风县“多规合一”实用性村庄规划编制项目</w:t>
      </w:r>
      <w:r>
        <w:rPr>
          <w:rFonts w:hint="eastAsia" w:ascii="仿宋_GB2312" w:hAnsi="仿宋_GB2312" w:eastAsia="仿宋_GB2312" w:cs="仿宋_GB2312"/>
          <w:b w:val="0"/>
          <w:bCs w:val="0"/>
          <w:sz w:val="32"/>
          <w:szCs w:val="32"/>
        </w:rPr>
        <w:t>绩效评价指标体系及打分表</w:t>
      </w:r>
    </w:p>
    <w:tbl>
      <w:tblPr>
        <w:tblStyle w:val="18"/>
        <w:tblW w:w="14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114"/>
        <w:gridCol w:w="1890"/>
        <w:gridCol w:w="7535"/>
        <w:gridCol w:w="705"/>
        <w:gridCol w:w="705"/>
        <w:gridCol w:w="1867"/>
      </w:tblGrid>
      <w:tr w14:paraId="487AD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blHeader/>
          <w:jc w:val="center"/>
        </w:trPr>
        <w:tc>
          <w:tcPr>
            <w:tcW w:w="1037" w:type="dxa"/>
            <w:shd w:val="clear" w:color="auto" w:fill="D7D7D7"/>
            <w:vAlign w:val="center"/>
          </w:tcPr>
          <w:p w14:paraId="3D8CF78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lang w:val="en-US" w:eastAsia="zh-CN"/>
              </w:rPr>
              <w:t>一</w:t>
            </w:r>
            <w:r>
              <w:rPr>
                <w:rFonts w:hint="eastAsia" w:ascii="仿宋_GB2312" w:hAnsi="仿宋_GB2312" w:eastAsia="仿宋_GB2312" w:cs="仿宋_GB2312"/>
                <w:b/>
                <w:bCs/>
                <w:sz w:val="21"/>
                <w:szCs w:val="21"/>
                <w:vertAlign w:val="baseline"/>
              </w:rPr>
              <w:t>级</w:t>
            </w:r>
          </w:p>
          <w:p w14:paraId="4AA46E8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rPr>
              <w:t>指标</w:t>
            </w:r>
          </w:p>
        </w:tc>
        <w:tc>
          <w:tcPr>
            <w:tcW w:w="1114" w:type="dxa"/>
            <w:shd w:val="clear" w:color="auto" w:fill="D7D7D7"/>
            <w:vAlign w:val="center"/>
          </w:tcPr>
          <w:p w14:paraId="6E8B208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lang w:val="en-US" w:eastAsia="zh-CN"/>
              </w:rPr>
              <w:t>二</w:t>
            </w:r>
            <w:r>
              <w:rPr>
                <w:rFonts w:hint="eastAsia" w:ascii="仿宋_GB2312" w:hAnsi="仿宋_GB2312" w:eastAsia="仿宋_GB2312" w:cs="仿宋_GB2312"/>
                <w:b/>
                <w:bCs/>
                <w:sz w:val="21"/>
                <w:szCs w:val="21"/>
                <w:vertAlign w:val="baseline"/>
              </w:rPr>
              <w:t>级</w:t>
            </w:r>
          </w:p>
          <w:p w14:paraId="29C0959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rPr>
              <w:t>指标</w:t>
            </w:r>
          </w:p>
        </w:tc>
        <w:tc>
          <w:tcPr>
            <w:tcW w:w="1890" w:type="dxa"/>
            <w:shd w:val="clear" w:color="auto" w:fill="D7D7D7"/>
            <w:vAlign w:val="center"/>
          </w:tcPr>
          <w:p w14:paraId="4C12D63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rPr>
              <w:t>三级</w:t>
            </w:r>
          </w:p>
          <w:p w14:paraId="33EFC8A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rPr>
              <w:t>指标</w:t>
            </w:r>
          </w:p>
        </w:tc>
        <w:tc>
          <w:tcPr>
            <w:tcW w:w="7535" w:type="dxa"/>
            <w:shd w:val="clear" w:color="auto" w:fill="D7D7D7"/>
            <w:vAlign w:val="center"/>
          </w:tcPr>
          <w:p w14:paraId="28147D3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r>
              <w:rPr>
                <w:rFonts w:hint="eastAsia" w:ascii="仿宋_GB2312" w:hAnsi="仿宋_GB2312" w:eastAsia="仿宋_GB2312" w:cs="仿宋_GB2312"/>
                <w:b/>
                <w:bCs/>
                <w:sz w:val="21"/>
                <w:szCs w:val="21"/>
                <w:vertAlign w:val="baseline"/>
              </w:rPr>
              <w:t>三级指标评分标准</w:t>
            </w:r>
          </w:p>
        </w:tc>
        <w:tc>
          <w:tcPr>
            <w:tcW w:w="705" w:type="dxa"/>
            <w:shd w:val="clear" w:color="auto" w:fill="D7D7D7"/>
            <w:vAlign w:val="center"/>
          </w:tcPr>
          <w:p w14:paraId="78A4513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三级</w:t>
            </w:r>
          </w:p>
          <w:p w14:paraId="7CFCFB6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指标</w:t>
            </w:r>
          </w:p>
          <w:p w14:paraId="346A622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分值</w:t>
            </w:r>
          </w:p>
          <w:p w14:paraId="1FC18E4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权重</w:t>
            </w:r>
          </w:p>
        </w:tc>
        <w:tc>
          <w:tcPr>
            <w:tcW w:w="705" w:type="dxa"/>
            <w:shd w:val="clear" w:color="auto" w:fill="D7D7D7"/>
            <w:vAlign w:val="center"/>
          </w:tcPr>
          <w:p w14:paraId="7E2E4AE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三级</w:t>
            </w:r>
          </w:p>
          <w:p w14:paraId="54E7FB8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指标</w:t>
            </w:r>
          </w:p>
          <w:p w14:paraId="49B3F54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评价</w:t>
            </w:r>
          </w:p>
          <w:p w14:paraId="0F221A7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得分</w:t>
            </w:r>
          </w:p>
        </w:tc>
        <w:tc>
          <w:tcPr>
            <w:tcW w:w="1867" w:type="dxa"/>
            <w:shd w:val="clear" w:color="auto" w:fill="D7D7D7"/>
            <w:vAlign w:val="center"/>
          </w:tcPr>
          <w:p w14:paraId="766858B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扣分</w:t>
            </w:r>
          </w:p>
          <w:p w14:paraId="4729CD0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原因</w:t>
            </w:r>
          </w:p>
        </w:tc>
      </w:tr>
      <w:tr w14:paraId="68546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7" w:type="dxa"/>
            <w:vMerge w:val="restart"/>
            <w:vAlign w:val="center"/>
          </w:tcPr>
          <w:p w14:paraId="4F4835C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决策</w:t>
            </w:r>
          </w:p>
          <w:p w14:paraId="6E495D2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指标</w:t>
            </w:r>
          </w:p>
          <w:p w14:paraId="138B7D8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（12分）</w:t>
            </w:r>
          </w:p>
        </w:tc>
        <w:tc>
          <w:tcPr>
            <w:tcW w:w="1114" w:type="dxa"/>
            <w:vMerge w:val="restart"/>
            <w:vAlign w:val="center"/>
          </w:tcPr>
          <w:p w14:paraId="57326AC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项目</w:t>
            </w:r>
          </w:p>
          <w:p w14:paraId="685E685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立项</w:t>
            </w:r>
          </w:p>
          <w:p w14:paraId="233E02E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（4分）</w:t>
            </w:r>
          </w:p>
        </w:tc>
        <w:tc>
          <w:tcPr>
            <w:tcW w:w="1890" w:type="dxa"/>
            <w:vAlign w:val="center"/>
          </w:tcPr>
          <w:p w14:paraId="75D4D2FE">
            <w:pPr>
              <w:keepNext w:val="0"/>
              <w:keepLines w:val="0"/>
              <w:pageBreakBefore w:val="0"/>
              <w:widowControl/>
              <w:suppressLineNumbers w:val="0"/>
              <w:kinsoku/>
              <w:wordWrap/>
              <w:overflowPunct/>
              <w:topLinePunct w:val="0"/>
              <w:autoSpaceDE/>
              <w:autoSpaceDN/>
              <w:bidi w:val="0"/>
              <w:adjustRightInd/>
              <w:snapToGrid/>
              <w:spacing w:line="300" w:lineRule="exact"/>
              <w:ind w:left="-108" w:leftChars="-50" w:right="-108" w:rightChars="-50"/>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立项依据充分性</w:t>
            </w:r>
          </w:p>
        </w:tc>
        <w:tc>
          <w:tcPr>
            <w:tcW w:w="7535" w:type="dxa"/>
            <w:vAlign w:val="center"/>
          </w:tcPr>
          <w:p w14:paraId="5F8818F1">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①项目立项符合国家法律法规、国民经济发展规划和相关政策，得0.5分；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②项目立项符合行业发展规划和政策要求，得0.5分；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③项目立项与部门职责范围相符，属于部门履职所必需，得0.5分；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④项目属于公共财政支持范围，符合中央、地方事权支出责任划分原则，得0.5分。</w:t>
            </w:r>
          </w:p>
        </w:tc>
        <w:tc>
          <w:tcPr>
            <w:tcW w:w="705" w:type="dxa"/>
            <w:vAlign w:val="center"/>
          </w:tcPr>
          <w:p w14:paraId="5C4042A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10F0A625">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1867" w:type="dxa"/>
            <w:vAlign w:val="center"/>
          </w:tcPr>
          <w:p w14:paraId="755A791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531EB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037" w:type="dxa"/>
            <w:vMerge w:val="continue"/>
            <w:vAlign w:val="center"/>
          </w:tcPr>
          <w:p w14:paraId="622F318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47556D0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7DFEE353">
            <w:pPr>
              <w:keepNext w:val="0"/>
              <w:keepLines w:val="0"/>
              <w:pageBreakBefore w:val="0"/>
              <w:widowControl/>
              <w:suppressLineNumbers w:val="0"/>
              <w:kinsoku/>
              <w:wordWrap/>
              <w:overflowPunct/>
              <w:topLinePunct w:val="0"/>
              <w:autoSpaceDE/>
              <w:autoSpaceDN/>
              <w:bidi w:val="0"/>
              <w:adjustRightInd/>
              <w:snapToGrid/>
              <w:spacing w:line="300" w:lineRule="exact"/>
              <w:ind w:left="-108" w:leftChars="-50" w:right="-108" w:rightChars="-50"/>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立项程序规范性</w:t>
            </w:r>
          </w:p>
        </w:tc>
        <w:tc>
          <w:tcPr>
            <w:tcW w:w="7535" w:type="dxa"/>
            <w:vAlign w:val="center"/>
          </w:tcPr>
          <w:p w14:paraId="430232E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①项目按照规定的程序申请设立，得0.5分；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②审批文件、材料符合相关要求，得0.5分；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③项目有完整可行的实施方案或相关报告，得0.5分；</w:t>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④事前已经过必要的研究、论证、风险评估、绩效评估、集体决策，得0.5分。</w:t>
            </w:r>
          </w:p>
        </w:tc>
        <w:tc>
          <w:tcPr>
            <w:tcW w:w="705" w:type="dxa"/>
            <w:vAlign w:val="center"/>
          </w:tcPr>
          <w:p w14:paraId="2377824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4537AA0A">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1.8</w:t>
            </w:r>
          </w:p>
        </w:tc>
        <w:tc>
          <w:tcPr>
            <w:tcW w:w="1867" w:type="dxa"/>
            <w:vAlign w:val="center"/>
          </w:tcPr>
          <w:p w14:paraId="49411880">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项目实施方案不够明确。</w:t>
            </w:r>
          </w:p>
        </w:tc>
      </w:tr>
      <w:tr w14:paraId="467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1037" w:type="dxa"/>
            <w:vMerge w:val="continue"/>
            <w:vAlign w:val="center"/>
          </w:tcPr>
          <w:p w14:paraId="32FE236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737928F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绩效</w:t>
            </w:r>
          </w:p>
          <w:p w14:paraId="788EA6B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目标</w:t>
            </w:r>
          </w:p>
          <w:p w14:paraId="6B66D74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（4分）</w:t>
            </w:r>
          </w:p>
        </w:tc>
        <w:tc>
          <w:tcPr>
            <w:tcW w:w="1890" w:type="dxa"/>
            <w:vAlign w:val="center"/>
          </w:tcPr>
          <w:p w14:paraId="5DF67008">
            <w:pPr>
              <w:keepNext w:val="0"/>
              <w:keepLines w:val="0"/>
              <w:pageBreakBefore w:val="0"/>
              <w:widowControl/>
              <w:suppressLineNumbers w:val="0"/>
              <w:kinsoku/>
              <w:wordWrap/>
              <w:overflowPunct/>
              <w:topLinePunct w:val="0"/>
              <w:autoSpaceDE/>
              <w:autoSpaceDN/>
              <w:bidi w:val="0"/>
              <w:adjustRightInd/>
              <w:snapToGrid/>
              <w:spacing w:line="300" w:lineRule="exact"/>
              <w:ind w:left="-108" w:leftChars="-50" w:right="-108" w:rightChars="-50"/>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绩效目标合理性</w:t>
            </w:r>
          </w:p>
        </w:tc>
        <w:tc>
          <w:tcPr>
            <w:tcW w:w="7535" w:type="dxa"/>
            <w:vAlign w:val="center"/>
          </w:tcPr>
          <w:p w14:paraId="06EDACEB">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①项目绩效目标完整，得0.5分；</w:t>
            </w:r>
          </w:p>
          <w:p w14:paraId="3FF66C08">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②项目绩效目标依据充分、科学合理，得0.5分；                                                         ③与项目实施单位职责密切相关，得0.5分；</w:t>
            </w:r>
          </w:p>
          <w:p w14:paraId="081180B4">
            <w:pPr>
              <w:keepNext w:val="0"/>
              <w:keepLines w:val="0"/>
              <w:widowControl/>
              <w:suppressLineNumbers w:val="0"/>
              <w:shd w:val="clear"/>
              <w:jc w:val="left"/>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④项目预期目标是否符合客观实际，能够在一定期限内如期实现，得0.5分。</w:t>
            </w:r>
          </w:p>
        </w:tc>
        <w:tc>
          <w:tcPr>
            <w:tcW w:w="705" w:type="dxa"/>
            <w:vAlign w:val="center"/>
          </w:tcPr>
          <w:p w14:paraId="5180BAB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38D80CE4">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1.6</w:t>
            </w:r>
          </w:p>
        </w:tc>
        <w:tc>
          <w:tcPr>
            <w:tcW w:w="1867" w:type="dxa"/>
            <w:vAlign w:val="center"/>
          </w:tcPr>
          <w:p w14:paraId="3F67B06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部分绩效目标设置不够合理。</w:t>
            </w:r>
          </w:p>
        </w:tc>
      </w:tr>
      <w:tr w14:paraId="4A6E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037" w:type="dxa"/>
            <w:vMerge w:val="continue"/>
            <w:vAlign w:val="center"/>
          </w:tcPr>
          <w:p w14:paraId="710B14D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5058189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1C2F2268">
            <w:pPr>
              <w:keepNext w:val="0"/>
              <w:keepLines w:val="0"/>
              <w:pageBreakBefore w:val="0"/>
              <w:widowControl/>
              <w:suppressLineNumbers w:val="0"/>
              <w:kinsoku/>
              <w:wordWrap/>
              <w:overflowPunct/>
              <w:topLinePunct w:val="0"/>
              <w:autoSpaceDE/>
              <w:autoSpaceDN/>
              <w:bidi w:val="0"/>
              <w:adjustRightInd/>
              <w:snapToGrid/>
              <w:spacing w:line="300" w:lineRule="exact"/>
              <w:ind w:left="-108" w:leftChars="-50" w:right="-108" w:rightChars="-50"/>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绩效指标明确性</w:t>
            </w:r>
          </w:p>
        </w:tc>
        <w:tc>
          <w:tcPr>
            <w:tcW w:w="7535" w:type="dxa"/>
            <w:vAlign w:val="center"/>
          </w:tcPr>
          <w:p w14:paraId="2CCF31A9">
            <w:pPr>
              <w:keepNext w:val="0"/>
              <w:keepLines w:val="0"/>
              <w:widowControl/>
              <w:suppressLineNumbers w:val="0"/>
              <w:shd w:val="clear"/>
              <w:jc w:val="both"/>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①项目按照绩效目标申报表模板要求填报，内容规范、详实得0.5分；</w:t>
            </w:r>
          </w:p>
          <w:p w14:paraId="5C30E3B1">
            <w:pPr>
              <w:keepNext w:val="0"/>
              <w:keepLines w:val="0"/>
              <w:widowControl/>
              <w:suppressLineNumbers w:val="0"/>
              <w:shd w:val="clear"/>
              <w:jc w:val="both"/>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 xml:space="preserve">②绩效目标通过清晰、可量化的指标体现，得1分；                      </w:t>
            </w:r>
          </w:p>
          <w:p w14:paraId="0EF59113">
            <w:pPr>
              <w:keepNext w:val="0"/>
              <w:keepLines w:val="0"/>
              <w:widowControl/>
              <w:suppressLineNumbers w:val="0"/>
              <w:shd w:val="clear"/>
              <w:jc w:val="both"/>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③绩效目标与项目年度任务数或计划数相对应，得0.5分。</w:t>
            </w:r>
          </w:p>
        </w:tc>
        <w:tc>
          <w:tcPr>
            <w:tcW w:w="705" w:type="dxa"/>
            <w:vAlign w:val="center"/>
          </w:tcPr>
          <w:p w14:paraId="48F1BAD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67C1B776">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1.6</w:t>
            </w:r>
          </w:p>
        </w:tc>
        <w:tc>
          <w:tcPr>
            <w:tcW w:w="1867" w:type="dxa"/>
            <w:vAlign w:val="center"/>
          </w:tcPr>
          <w:p w14:paraId="4DC977B4">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个别绩效指标设置不够明确。</w:t>
            </w:r>
          </w:p>
        </w:tc>
      </w:tr>
      <w:tr w14:paraId="70725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037" w:type="dxa"/>
            <w:vMerge w:val="continue"/>
            <w:vAlign w:val="center"/>
          </w:tcPr>
          <w:p w14:paraId="1D69630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04AF8BD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资金</w:t>
            </w:r>
          </w:p>
          <w:p w14:paraId="5FE384E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投入</w:t>
            </w:r>
          </w:p>
          <w:p w14:paraId="6AD9EA7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（4分）</w:t>
            </w:r>
          </w:p>
        </w:tc>
        <w:tc>
          <w:tcPr>
            <w:tcW w:w="1890" w:type="dxa"/>
            <w:vAlign w:val="center"/>
          </w:tcPr>
          <w:p w14:paraId="3D64158B">
            <w:pPr>
              <w:keepNext w:val="0"/>
              <w:keepLines w:val="0"/>
              <w:pageBreakBefore w:val="0"/>
              <w:widowControl/>
              <w:suppressLineNumbers w:val="0"/>
              <w:kinsoku/>
              <w:wordWrap/>
              <w:overflowPunct/>
              <w:topLinePunct w:val="0"/>
              <w:autoSpaceDE/>
              <w:autoSpaceDN/>
              <w:bidi w:val="0"/>
              <w:adjustRightInd/>
              <w:snapToGrid/>
              <w:spacing w:line="300" w:lineRule="exact"/>
              <w:ind w:left="-108" w:leftChars="-50" w:right="-108" w:rightChars="-50"/>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预算编制科学性</w:t>
            </w:r>
          </w:p>
        </w:tc>
        <w:tc>
          <w:tcPr>
            <w:tcW w:w="7535" w:type="dxa"/>
            <w:vAlign w:val="center"/>
          </w:tcPr>
          <w:p w14:paraId="3247EF7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①预算编制经过科学论证，得0.5分；</w:t>
            </w:r>
          </w:p>
          <w:p w14:paraId="13B622B9">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②预算内容与项目内容相匹配，得0.5分；</w:t>
            </w:r>
          </w:p>
          <w:p w14:paraId="10314F82">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③预算额度测算依据充分，并能按照标准编制，得0.5分；</w:t>
            </w:r>
          </w:p>
          <w:p w14:paraId="1F826280">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④预算确定的项目投资额或资金量与工作任务相匹配，得0.5分。</w:t>
            </w:r>
          </w:p>
        </w:tc>
        <w:tc>
          <w:tcPr>
            <w:tcW w:w="705" w:type="dxa"/>
            <w:vAlign w:val="center"/>
          </w:tcPr>
          <w:p w14:paraId="672EC4F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0BDEBD89">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1867" w:type="dxa"/>
            <w:vAlign w:val="center"/>
          </w:tcPr>
          <w:p w14:paraId="66D2C65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19FF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37" w:type="dxa"/>
            <w:vMerge w:val="continue"/>
            <w:vAlign w:val="center"/>
          </w:tcPr>
          <w:p w14:paraId="5B0A4B7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5734C66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0EB0054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资金分配合理性</w:t>
            </w:r>
          </w:p>
        </w:tc>
        <w:tc>
          <w:tcPr>
            <w:tcW w:w="7535" w:type="dxa"/>
            <w:vAlign w:val="center"/>
          </w:tcPr>
          <w:p w14:paraId="3C8C486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①预算资金分配依据充分，得1分；</w:t>
            </w:r>
          </w:p>
          <w:p w14:paraId="32368E58">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②资金分配额度合理，与项目单位或地方实际相适应，得1分。</w:t>
            </w:r>
          </w:p>
        </w:tc>
        <w:tc>
          <w:tcPr>
            <w:tcW w:w="705" w:type="dxa"/>
            <w:vAlign w:val="center"/>
          </w:tcPr>
          <w:p w14:paraId="492F517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w:t>
            </w:r>
          </w:p>
        </w:tc>
        <w:tc>
          <w:tcPr>
            <w:tcW w:w="705" w:type="dxa"/>
            <w:vAlign w:val="center"/>
          </w:tcPr>
          <w:p w14:paraId="7DB3F76C">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1867" w:type="dxa"/>
            <w:vAlign w:val="center"/>
          </w:tcPr>
          <w:p w14:paraId="55CF418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225F3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37" w:type="dxa"/>
            <w:vMerge w:val="restart"/>
            <w:vAlign w:val="center"/>
          </w:tcPr>
          <w:p w14:paraId="4BE5B35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过程</w:t>
            </w:r>
          </w:p>
          <w:p w14:paraId="2A998C5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指标</w:t>
            </w:r>
          </w:p>
          <w:p w14:paraId="0E58880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（17分）</w:t>
            </w:r>
          </w:p>
          <w:p w14:paraId="78FD04C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4414869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资金</w:t>
            </w:r>
          </w:p>
          <w:p w14:paraId="7C161D0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管理</w:t>
            </w:r>
          </w:p>
          <w:p w14:paraId="69D84DA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（9分）</w:t>
            </w:r>
          </w:p>
        </w:tc>
        <w:tc>
          <w:tcPr>
            <w:tcW w:w="1890" w:type="dxa"/>
            <w:vAlign w:val="center"/>
          </w:tcPr>
          <w:p w14:paraId="4508542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资金到位率</w:t>
            </w:r>
          </w:p>
        </w:tc>
        <w:tc>
          <w:tcPr>
            <w:tcW w:w="7535" w:type="dxa"/>
            <w:vAlign w:val="center"/>
          </w:tcPr>
          <w:p w14:paraId="4908D127">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资金到位率a=(实际到位资金/预算资金)×100%</w:t>
            </w:r>
          </w:p>
          <w:p w14:paraId="7C82DB7A">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得分=资金到位率a×指标分值，且a＜60%不得分。</w:t>
            </w:r>
          </w:p>
        </w:tc>
        <w:tc>
          <w:tcPr>
            <w:tcW w:w="705" w:type="dxa"/>
            <w:vAlign w:val="center"/>
          </w:tcPr>
          <w:p w14:paraId="4640BA5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522014D2">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867" w:type="dxa"/>
            <w:vAlign w:val="center"/>
          </w:tcPr>
          <w:p w14:paraId="7FDE7567">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4D7C4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7" w:type="dxa"/>
            <w:vMerge w:val="continue"/>
            <w:vAlign w:val="center"/>
          </w:tcPr>
          <w:p w14:paraId="6101003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6C9B185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72958F1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预算执行率</w:t>
            </w:r>
          </w:p>
        </w:tc>
        <w:tc>
          <w:tcPr>
            <w:tcW w:w="7535" w:type="dxa"/>
            <w:vAlign w:val="center"/>
          </w:tcPr>
          <w:p w14:paraId="6B2D48B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预算执行率a=实际支出资金/实际到位资金×100%</w:t>
            </w:r>
          </w:p>
          <w:p w14:paraId="2D1344E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得分=资金到位率a×指标分值，且a＜60%不得分。</w:t>
            </w:r>
          </w:p>
        </w:tc>
        <w:tc>
          <w:tcPr>
            <w:tcW w:w="705" w:type="dxa"/>
            <w:vAlign w:val="center"/>
          </w:tcPr>
          <w:p w14:paraId="329F655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1CDB2B8F">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867" w:type="dxa"/>
            <w:vAlign w:val="center"/>
          </w:tcPr>
          <w:p w14:paraId="57A847B1">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7CD0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037" w:type="dxa"/>
            <w:vMerge w:val="continue"/>
            <w:vAlign w:val="center"/>
          </w:tcPr>
          <w:p w14:paraId="17330A1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7EDDB9E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0E6C8AF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资金使用合规性</w:t>
            </w:r>
          </w:p>
        </w:tc>
        <w:tc>
          <w:tcPr>
            <w:tcW w:w="7535" w:type="dxa"/>
            <w:vAlign w:val="center"/>
          </w:tcPr>
          <w:p w14:paraId="6A9CE78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①符合国家财经法规和财务管理制度以及有关专项资金管理办法，得0.5分；</w:t>
            </w:r>
          </w:p>
          <w:p w14:paraId="309F8691">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②资金的拨付有完整的审批程序和手续，得1分；</w:t>
            </w:r>
          </w:p>
          <w:p w14:paraId="2D4AA1AD">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③符合项目预算批复或合同，以及专项资金管理办法的用途，得1分；</w:t>
            </w:r>
          </w:p>
          <w:p w14:paraId="5376378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④按时拨付、使用资金，得0.5分；</w:t>
            </w:r>
          </w:p>
          <w:p w14:paraId="5780771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⑤存在截留、挤占、挪用、虚列支出等情况，扣3分。</w:t>
            </w:r>
          </w:p>
        </w:tc>
        <w:tc>
          <w:tcPr>
            <w:tcW w:w="705" w:type="dxa"/>
            <w:vAlign w:val="center"/>
          </w:tcPr>
          <w:p w14:paraId="67DA77B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03D66879">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867" w:type="dxa"/>
            <w:vAlign w:val="center"/>
          </w:tcPr>
          <w:p w14:paraId="61F9D36C">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670CC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037" w:type="dxa"/>
            <w:vMerge w:val="continue"/>
            <w:vAlign w:val="center"/>
          </w:tcPr>
          <w:p w14:paraId="2CAC4ED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02FEC18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组织</w:t>
            </w:r>
          </w:p>
          <w:p w14:paraId="0A900B7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实施</w:t>
            </w:r>
          </w:p>
          <w:p w14:paraId="5218A9A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（8分）</w:t>
            </w:r>
          </w:p>
        </w:tc>
        <w:tc>
          <w:tcPr>
            <w:tcW w:w="1890" w:type="dxa"/>
            <w:vAlign w:val="center"/>
          </w:tcPr>
          <w:p w14:paraId="7EAEA9F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管理制度健全性</w:t>
            </w:r>
          </w:p>
        </w:tc>
        <w:tc>
          <w:tcPr>
            <w:tcW w:w="7535" w:type="dxa"/>
            <w:vAlign w:val="center"/>
          </w:tcPr>
          <w:p w14:paraId="2917DDE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①已制定或具有相应的财务和业务、后期运行管护等各项管理制度，得1.5分；</w:t>
            </w:r>
          </w:p>
          <w:p w14:paraId="45C5AB28">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②财务和业务等各项管理制度合法、合规、完整，得1.5分。</w:t>
            </w:r>
          </w:p>
        </w:tc>
        <w:tc>
          <w:tcPr>
            <w:tcW w:w="705" w:type="dxa"/>
            <w:vAlign w:val="center"/>
          </w:tcPr>
          <w:p w14:paraId="6EDE086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65859E30">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2.5</w:t>
            </w:r>
          </w:p>
        </w:tc>
        <w:tc>
          <w:tcPr>
            <w:tcW w:w="1867" w:type="dxa"/>
            <w:vAlign w:val="center"/>
          </w:tcPr>
          <w:p w14:paraId="29E01C8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未结合项目特点与实际需求，制定具体详实的规划实施监督评估、成果验收归档等制度。</w:t>
            </w:r>
          </w:p>
        </w:tc>
      </w:tr>
      <w:tr w14:paraId="33E1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1037" w:type="dxa"/>
            <w:vMerge w:val="continue"/>
            <w:vAlign w:val="center"/>
          </w:tcPr>
          <w:p w14:paraId="4339A4F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03D5E4C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0D99D77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制度执行有效性</w:t>
            </w:r>
          </w:p>
        </w:tc>
        <w:tc>
          <w:tcPr>
            <w:tcW w:w="7535" w:type="dxa"/>
            <w:vAlign w:val="center"/>
          </w:tcPr>
          <w:p w14:paraId="12DD1BDF">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①能遵守相关法律法规和相关管理规定，考核记录规范、完整，得1分；</w:t>
            </w:r>
          </w:p>
          <w:p w14:paraId="4679DB00">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②项目调整及支出调整手续完备，得0.5分；</w:t>
            </w:r>
          </w:p>
          <w:p w14:paraId="2B70C72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③项目实施单位人员条件、设备条件等是否落实到位，得0.5分；</w:t>
            </w:r>
          </w:p>
          <w:p w14:paraId="4517521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④项目招标资料、合同书、验收或检查报告等资料齐全并及时归档，2分；</w:t>
            </w:r>
          </w:p>
          <w:p w14:paraId="7101DA3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⑤项目总结（自评）及信息采集报送工作认真、内容完整、详实，得1分。</w:t>
            </w:r>
          </w:p>
        </w:tc>
        <w:tc>
          <w:tcPr>
            <w:tcW w:w="705" w:type="dxa"/>
            <w:vAlign w:val="center"/>
          </w:tcPr>
          <w:p w14:paraId="1F974C9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w:t>
            </w:r>
          </w:p>
        </w:tc>
        <w:tc>
          <w:tcPr>
            <w:tcW w:w="705" w:type="dxa"/>
            <w:vAlign w:val="center"/>
          </w:tcPr>
          <w:p w14:paraId="2F6B6825">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i w:val="0"/>
                <w:iCs w:val="0"/>
                <w:color w:val="000000"/>
                <w:kern w:val="0"/>
                <w:sz w:val="21"/>
                <w:szCs w:val="21"/>
                <w:highlight w:val="none"/>
                <w:u w:val="none"/>
                <w:lang w:val="en-US" w:eastAsia="zh-CN" w:bidi="ar"/>
              </w:rPr>
              <w:t>3.5</w:t>
            </w:r>
          </w:p>
        </w:tc>
        <w:tc>
          <w:tcPr>
            <w:tcW w:w="1867" w:type="dxa"/>
            <w:vAlign w:val="center"/>
          </w:tcPr>
          <w:p w14:paraId="667D016C">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合同签订不够规范；项目总结、自评等工作不够规范、不够详实。</w:t>
            </w:r>
          </w:p>
        </w:tc>
      </w:tr>
      <w:tr w14:paraId="03918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jc w:val="center"/>
        </w:trPr>
        <w:tc>
          <w:tcPr>
            <w:tcW w:w="1037" w:type="dxa"/>
            <w:vMerge w:val="restart"/>
            <w:vAlign w:val="center"/>
          </w:tcPr>
          <w:p w14:paraId="5293218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成本</w:t>
            </w:r>
          </w:p>
          <w:p w14:paraId="4AB39C3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指标</w:t>
            </w:r>
          </w:p>
          <w:p w14:paraId="39FC520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（11分）</w:t>
            </w:r>
          </w:p>
        </w:tc>
        <w:tc>
          <w:tcPr>
            <w:tcW w:w="1114" w:type="dxa"/>
            <w:vAlign w:val="center"/>
          </w:tcPr>
          <w:p w14:paraId="29BCAFB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经济</w:t>
            </w:r>
          </w:p>
          <w:p w14:paraId="0AE70B9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成本</w:t>
            </w:r>
          </w:p>
          <w:p w14:paraId="5F02D16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（5分）</w:t>
            </w:r>
          </w:p>
        </w:tc>
        <w:tc>
          <w:tcPr>
            <w:tcW w:w="1890" w:type="dxa"/>
            <w:vAlign w:val="center"/>
          </w:tcPr>
          <w:p w14:paraId="26F863C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单位成本或</w:t>
            </w:r>
          </w:p>
          <w:p w14:paraId="0B17632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分项成本节约率</w:t>
            </w:r>
          </w:p>
        </w:tc>
        <w:tc>
          <w:tcPr>
            <w:tcW w:w="7535" w:type="dxa"/>
            <w:vAlign w:val="center"/>
          </w:tcPr>
          <w:p w14:paraId="7796CE7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成本节约率=[（计划成本-实际成本）/计划成本]×100%。</w:t>
            </w:r>
          </w:p>
          <w:p w14:paraId="5FCF64A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评分标准：成本节约率＜0不得分；工程建设类等相关项目成本节约率＝0按60%赋基础分（60%×指标分值）；成本节约率≥5%得满分；0%-5%的之间按比重赋分，得分=（60%×指标分值）+（成本节约率×8×指标分值）；其他类项目成本节约率≥0即可得满分</w:t>
            </w:r>
          </w:p>
          <w:p w14:paraId="6850D084">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得分=成本节约率×10×指标分值。</w:t>
            </w:r>
          </w:p>
        </w:tc>
        <w:tc>
          <w:tcPr>
            <w:tcW w:w="705" w:type="dxa"/>
            <w:vAlign w:val="center"/>
          </w:tcPr>
          <w:p w14:paraId="2C5994E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w:t>
            </w:r>
          </w:p>
        </w:tc>
        <w:tc>
          <w:tcPr>
            <w:tcW w:w="705" w:type="dxa"/>
            <w:vAlign w:val="center"/>
          </w:tcPr>
          <w:p w14:paraId="55FC2B1C">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5</w:t>
            </w:r>
          </w:p>
        </w:tc>
        <w:tc>
          <w:tcPr>
            <w:tcW w:w="1867" w:type="dxa"/>
            <w:vAlign w:val="center"/>
          </w:tcPr>
          <w:p w14:paraId="23314BA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4B2E6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037" w:type="dxa"/>
            <w:vMerge w:val="continue"/>
            <w:vAlign w:val="center"/>
          </w:tcPr>
          <w:p w14:paraId="22DF150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54D90C7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社会</w:t>
            </w:r>
          </w:p>
          <w:p w14:paraId="7BE8C8E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成本</w:t>
            </w:r>
          </w:p>
          <w:p w14:paraId="1F2ED24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（3分）</w:t>
            </w:r>
          </w:p>
        </w:tc>
        <w:tc>
          <w:tcPr>
            <w:tcW w:w="1890" w:type="dxa"/>
            <w:vAlign w:val="center"/>
          </w:tcPr>
          <w:p w14:paraId="4338217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社会发展负作用</w:t>
            </w:r>
          </w:p>
        </w:tc>
        <w:tc>
          <w:tcPr>
            <w:tcW w:w="7535" w:type="dxa"/>
            <w:vAlign w:val="center"/>
          </w:tcPr>
          <w:p w14:paraId="7124258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因本指标无法量化，按评判等级赋分，分为项目的实施无负作用、负作用较小、负作用较大三个档次，并分别按照该指标对应分值区间100%-80%（含）、80%-60%（含）、60%-0%合理确定分值。</w:t>
            </w:r>
          </w:p>
        </w:tc>
        <w:tc>
          <w:tcPr>
            <w:tcW w:w="705" w:type="dxa"/>
            <w:vAlign w:val="center"/>
          </w:tcPr>
          <w:p w14:paraId="24C1176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71D1D6D7">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w:t>
            </w:r>
          </w:p>
        </w:tc>
        <w:tc>
          <w:tcPr>
            <w:tcW w:w="1867" w:type="dxa"/>
            <w:vAlign w:val="center"/>
          </w:tcPr>
          <w:p w14:paraId="08C060F1">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05E4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037" w:type="dxa"/>
            <w:vMerge w:val="continue"/>
            <w:vAlign w:val="center"/>
          </w:tcPr>
          <w:p w14:paraId="346CE45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1B55C18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生态环境成本</w:t>
            </w:r>
          </w:p>
          <w:p w14:paraId="2B921CB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（3分）</w:t>
            </w:r>
          </w:p>
        </w:tc>
        <w:tc>
          <w:tcPr>
            <w:tcW w:w="1890" w:type="dxa"/>
            <w:vAlign w:val="center"/>
          </w:tcPr>
          <w:p w14:paraId="64C3BAB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自然生态</w:t>
            </w:r>
          </w:p>
          <w:p w14:paraId="4131D59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环境负作用</w:t>
            </w:r>
          </w:p>
        </w:tc>
        <w:tc>
          <w:tcPr>
            <w:tcW w:w="7535" w:type="dxa"/>
            <w:vAlign w:val="center"/>
          </w:tcPr>
          <w:p w14:paraId="1E30948D">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因本指标无法量化，按评判等级赋分，分为项目的实施无负作用、负作用较小、负作用较大三个档次，并分别按照该指标对应分值区间100%-80%（含）、80%-60%（含）、60%-0%合理确定分值。</w:t>
            </w:r>
          </w:p>
        </w:tc>
        <w:tc>
          <w:tcPr>
            <w:tcW w:w="705" w:type="dxa"/>
            <w:vAlign w:val="center"/>
          </w:tcPr>
          <w:p w14:paraId="2877CB4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6F6CF783">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w:t>
            </w:r>
          </w:p>
        </w:tc>
        <w:tc>
          <w:tcPr>
            <w:tcW w:w="1867" w:type="dxa"/>
            <w:vAlign w:val="center"/>
          </w:tcPr>
          <w:p w14:paraId="3C72D55B">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14D6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1037" w:type="dxa"/>
            <w:vMerge w:val="restart"/>
            <w:vAlign w:val="center"/>
          </w:tcPr>
          <w:p w14:paraId="36F2057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52B2C6B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03CA97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149A411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5720CA3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产出</w:t>
            </w:r>
          </w:p>
          <w:p w14:paraId="7950D68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指标</w:t>
            </w:r>
          </w:p>
          <w:p w14:paraId="3C576E1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（25分）</w:t>
            </w:r>
          </w:p>
          <w:p w14:paraId="36A2440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47B1AE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37EBB56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249761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8E6F64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DC94AF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084C8FB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68865A7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6BE9308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7A1B857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53AE5C7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6E52558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p w14:paraId="0B1CC4B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效益</w:t>
            </w:r>
          </w:p>
          <w:p w14:paraId="23BDFAB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指标</w:t>
            </w:r>
          </w:p>
          <w:p w14:paraId="6C6B0A1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（35分）</w:t>
            </w:r>
          </w:p>
        </w:tc>
        <w:tc>
          <w:tcPr>
            <w:tcW w:w="1114" w:type="dxa"/>
            <w:vAlign w:val="center"/>
          </w:tcPr>
          <w:p w14:paraId="705D299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产出</w:t>
            </w:r>
          </w:p>
          <w:p w14:paraId="6B8F955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数量</w:t>
            </w:r>
          </w:p>
          <w:p w14:paraId="4ED5F70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（10分）</w:t>
            </w:r>
          </w:p>
        </w:tc>
        <w:tc>
          <w:tcPr>
            <w:tcW w:w="1890" w:type="dxa"/>
            <w:vAlign w:val="center"/>
          </w:tcPr>
          <w:p w14:paraId="260778A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项目数量目标</w:t>
            </w:r>
          </w:p>
          <w:p w14:paraId="1005442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完成情况</w:t>
            </w:r>
          </w:p>
        </w:tc>
        <w:tc>
          <w:tcPr>
            <w:tcW w:w="7535" w:type="dxa"/>
            <w:vAlign w:val="center"/>
          </w:tcPr>
          <w:p w14:paraId="149495FC">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计算公式：完成率=（实际产出数/计划产出数）×100%。</w:t>
            </w:r>
          </w:p>
          <w:p w14:paraId="122EE30D">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评分标准：完成率小于60%不得分；大于等于60%的按超过的比重赋分，</w:t>
            </w:r>
          </w:p>
          <w:p w14:paraId="22099E8D">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得分=（完成率-60%）/（1-60%）×指标分值。</w:t>
            </w:r>
          </w:p>
        </w:tc>
        <w:tc>
          <w:tcPr>
            <w:tcW w:w="705" w:type="dxa"/>
            <w:vAlign w:val="center"/>
          </w:tcPr>
          <w:p w14:paraId="3838FD9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w:t>
            </w:r>
          </w:p>
        </w:tc>
        <w:tc>
          <w:tcPr>
            <w:tcW w:w="705" w:type="dxa"/>
            <w:vAlign w:val="center"/>
          </w:tcPr>
          <w:p w14:paraId="0A19DD0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w:t>
            </w:r>
          </w:p>
        </w:tc>
        <w:tc>
          <w:tcPr>
            <w:tcW w:w="1867" w:type="dxa"/>
            <w:vAlign w:val="center"/>
          </w:tcPr>
          <w:p w14:paraId="5AF55109">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7142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037" w:type="dxa"/>
            <w:vMerge w:val="continue"/>
            <w:vAlign w:val="center"/>
          </w:tcPr>
          <w:p w14:paraId="61B087C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55E9DFD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产出</w:t>
            </w:r>
          </w:p>
          <w:p w14:paraId="1AA7D75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质量</w:t>
            </w:r>
          </w:p>
          <w:p w14:paraId="2628F86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（10分）</w:t>
            </w:r>
          </w:p>
        </w:tc>
        <w:tc>
          <w:tcPr>
            <w:tcW w:w="1890" w:type="dxa"/>
            <w:vAlign w:val="center"/>
          </w:tcPr>
          <w:p w14:paraId="5C98A29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项目质量目标</w:t>
            </w:r>
          </w:p>
          <w:p w14:paraId="34D999DF">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完成情况</w:t>
            </w:r>
          </w:p>
        </w:tc>
        <w:tc>
          <w:tcPr>
            <w:tcW w:w="7535" w:type="dxa"/>
            <w:vAlign w:val="center"/>
          </w:tcPr>
          <w:p w14:paraId="333EAE67">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计算公式：质量达标率=（质量达标产出数/实际产出数）×100%。</w:t>
            </w:r>
          </w:p>
          <w:p w14:paraId="67B3445C">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评分标准：质量达标率小于60%不得分；大于等于60%的按超过的比重赋分，</w:t>
            </w:r>
          </w:p>
          <w:p w14:paraId="3FD214C2">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得分=（质量达标率-60%）/（1-60%）×指标分值。                                                                 （项目验收质量合格情况、现场查验质量情况及其它相关资料）。</w:t>
            </w:r>
          </w:p>
        </w:tc>
        <w:tc>
          <w:tcPr>
            <w:tcW w:w="705" w:type="dxa"/>
            <w:vAlign w:val="center"/>
          </w:tcPr>
          <w:p w14:paraId="3425CF2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w:t>
            </w:r>
          </w:p>
        </w:tc>
        <w:tc>
          <w:tcPr>
            <w:tcW w:w="705" w:type="dxa"/>
            <w:shd w:val="clear" w:color="auto" w:fill="auto"/>
            <w:vAlign w:val="center"/>
          </w:tcPr>
          <w:p w14:paraId="4F5CE9AF">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1"/>
                <w:szCs w:val="21"/>
                <w:highlight w:val="none"/>
                <w:lang w:val="en-US" w:eastAsia="zh-CN" w:bidi="ar-SA"/>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9</w:t>
            </w:r>
          </w:p>
        </w:tc>
        <w:tc>
          <w:tcPr>
            <w:tcW w:w="1867" w:type="dxa"/>
            <w:vAlign w:val="center"/>
          </w:tcPr>
          <w:p w14:paraId="6D23B6F0">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《扶风县自然资源局关于村庄规划质量评估情况的报告》显示：在数据库、村民版成果及备案版成果的相关章节需进一步整改提升。</w:t>
            </w:r>
          </w:p>
        </w:tc>
      </w:tr>
      <w:tr w14:paraId="0A8D3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037" w:type="dxa"/>
            <w:vMerge w:val="continue"/>
            <w:vAlign w:val="center"/>
          </w:tcPr>
          <w:p w14:paraId="58AD9AB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6963AFF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产出</w:t>
            </w:r>
          </w:p>
          <w:p w14:paraId="5BF399A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时效</w:t>
            </w:r>
          </w:p>
          <w:p w14:paraId="011B3E1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（5分）</w:t>
            </w:r>
          </w:p>
        </w:tc>
        <w:tc>
          <w:tcPr>
            <w:tcW w:w="1890" w:type="dxa"/>
            <w:vAlign w:val="center"/>
          </w:tcPr>
          <w:p w14:paraId="0130178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项目按期</w:t>
            </w:r>
            <w:r>
              <w:rPr>
                <w:rFonts w:hint="eastAsia" w:ascii="仿宋_GB2312" w:hAnsi="仿宋_GB2312" w:eastAsia="仿宋_GB2312" w:cs="仿宋_GB2312"/>
                <w:b w:val="0"/>
                <w:bCs w:val="0"/>
                <w:sz w:val="21"/>
                <w:szCs w:val="21"/>
                <w:vertAlign w:val="baseline"/>
                <w:lang w:val="en-US" w:eastAsia="zh-CN"/>
              </w:rPr>
              <w:br w:type="textWrapping"/>
            </w:r>
            <w:r>
              <w:rPr>
                <w:rFonts w:hint="eastAsia" w:ascii="仿宋_GB2312" w:hAnsi="仿宋_GB2312" w:eastAsia="仿宋_GB2312" w:cs="仿宋_GB2312"/>
                <w:b w:val="0"/>
                <w:bCs w:val="0"/>
                <w:sz w:val="21"/>
                <w:szCs w:val="21"/>
                <w:vertAlign w:val="baseline"/>
                <w:lang w:val="en-US" w:eastAsia="zh-CN"/>
              </w:rPr>
              <w:t>完成情况</w:t>
            </w:r>
          </w:p>
        </w:tc>
        <w:tc>
          <w:tcPr>
            <w:tcW w:w="7535" w:type="dxa"/>
            <w:vAlign w:val="center"/>
          </w:tcPr>
          <w:p w14:paraId="5E72E535">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全部按期完成目标得5分；部分按期实现目标得4-2分（含）；按期实现目标程度较低得2-0分。</w:t>
            </w:r>
          </w:p>
        </w:tc>
        <w:tc>
          <w:tcPr>
            <w:tcW w:w="705" w:type="dxa"/>
            <w:vAlign w:val="center"/>
          </w:tcPr>
          <w:p w14:paraId="65D7EB3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w:t>
            </w:r>
          </w:p>
        </w:tc>
        <w:tc>
          <w:tcPr>
            <w:tcW w:w="705" w:type="dxa"/>
            <w:shd w:val="clear" w:color="auto" w:fill="auto"/>
            <w:vAlign w:val="center"/>
          </w:tcPr>
          <w:p w14:paraId="653C6CC5">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1"/>
                <w:szCs w:val="21"/>
                <w:highlight w:val="none"/>
                <w:lang w:val="en-US" w:eastAsia="zh-CN" w:bidi="ar-SA"/>
              </w:rPr>
            </w:pPr>
            <w:r>
              <w:rPr>
                <w:rFonts w:hint="eastAsia" w:ascii="仿宋_GB2312" w:hAnsi="仿宋_GB2312" w:eastAsia="仿宋_GB2312" w:cs="仿宋_GB2312"/>
                <w:b w:val="0"/>
                <w:bCs w:val="0"/>
                <w:color w:val="auto"/>
                <w:sz w:val="21"/>
                <w:szCs w:val="21"/>
                <w:highlight w:val="none"/>
                <w:lang w:val="en-US" w:eastAsia="zh-CN"/>
              </w:rPr>
              <w:t>3</w:t>
            </w:r>
          </w:p>
        </w:tc>
        <w:tc>
          <w:tcPr>
            <w:tcW w:w="1867" w:type="dxa"/>
            <w:vAlign w:val="center"/>
          </w:tcPr>
          <w:p w14:paraId="329F3B8E">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成果交付周期明显过长。</w:t>
            </w:r>
          </w:p>
        </w:tc>
      </w:tr>
      <w:tr w14:paraId="4C3C0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037" w:type="dxa"/>
            <w:vMerge w:val="continue"/>
            <w:vAlign w:val="center"/>
          </w:tcPr>
          <w:p w14:paraId="0862B37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2F371C5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经济</w:t>
            </w:r>
          </w:p>
          <w:p w14:paraId="11DDBF6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效益</w:t>
            </w:r>
          </w:p>
          <w:p w14:paraId="368CC95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（5分）</w:t>
            </w:r>
          </w:p>
        </w:tc>
        <w:tc>
          <w:tcPr>
            <w:tcW w:w="1890" w:type="dxa"/>
            <w:vAlign w:val="center"/>
          </w:tcPr>
          <w:p w14:paraId="3ACBD93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促进区域经济发展作用情况</w:t>
            </w:r>
          </w:p>
        </w:tc>
        <w:tc>
          <w:tcPr>
            <w:tcW w:w="7535" w:type="dxa"/>
            <w:vAlign w:val="center"/>
          </w:tcPr>
          <w:p w14:paraId="401FB07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因本指标无法量化，按评判等级赋分，分为促进作用明显、较明显、一般三个档次，并分别按照该指标对应分值区间100%-80%（含）、80%-60%（含）、60%-0%合理确定分值。</w:t>
            </w:r>
          </w:p>
        </w:tc>
        <w:tc>
          <w:tcPr>
            <w:tcW w:w="705" w:type="dxa"/>
            <w:vAlign w:val="center"/>
          </w:tcPr>
          <w:p w14:paraId="4C07420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5</w:t>
            </w:r>
          </w:p>
        </w:tc>
        <w:tc>
          <w:tcPr>
            <w:tcW w:w="705" w:type="dxa"/>
            <w:vAlign w:val="center"/>
          </w:tcPr>
          <w:p w14:paraId="704629A7">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4.5</w:t>
            </w:r>
          </w:p>
        </w:tc>
        <w:tc>
          <w:tcPr>
            <w:tcW w:w="1867" w:type="dxa"/>
            <w:vAlign w:val="center"/>
          </w:tcPr>
          <w:p w14:paraId="5C9E2CB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项目间接经济效益较为显著。</w:t>
            </w:r>
          </w:p>
        </w:tc>
      </w:tr>
      <w:tr w14:paraId="643A4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37" w:type="dxa"/>
            <w:vMerge w:val="continue"/>
            <w:vAlign w:val="center"/>
          </w:tcPr>
          <w:p w14:paraId="3D43CA6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2E1F60C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社会</w:t>
            </w:r>
          </w:p>
          <w:p w14:paraId="2E07D6E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效益</w:t>
            </w:r>
          </w:p>
          <w:p w14:paraId="7FDF382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（9分）</w:t>
            </w:r>
          </w:p>
        </w:tc>
        <w:tc>
          <w:tcPr>
            <w:tcW w:w="1890" w:type="dxa"/>
            <w:vAlign w:val="center"/>
          </w:tcPr>
          <w:p w14:paraId="5D73F45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提升人居环境水平</w:t>
            </w:r>
          </w:p>
        </w:tc>
        <w:tc>
          <w:tcPr>
            <w:tcW w:w="7535" w:type="dxa"/>
            <w:vMerge w:val="restart"/>
            <w:vAlign w:val="center"/>
          </w:tcPr>
          <w:p w14:paraId="6FB2224B">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因本指标无法量化，按评判等级赋分，分为全部实现目标、部分实现目标、实现目标程度较低三个档次，并分别按照该指标对应分值区间100%-80%（含）、80%-60%（含）、60%-0%合理确定分值。</w:t>
            </w:r>
          </w:p>
        </w:tc>
        <w:tc>
          <w:tcPr>
            <w:tcW w:w="705" w:type="dxa"/>
            <w:vAlign w:val="center"/>
          </w:tcPr>
          <w:p w14:paraId="15D207E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kern w:val="2"/>
                <w:sz w:val="21"/>
                <w:szCs w:val="21"/>
                <w:vertAlign w:val="baseline"/>
                <w:lang w:val="en-US" w:eastAsia="zh-CN" w:bidi="ar-SA"/>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2C956BA2">
            <w:pPr>
              <w:keepNext w:val="0"/>
              <w:keepLines w:val="0"/>
              <w:widowControl/>
              <w:suppressLineNumbers w:val="0"/>
              <w:jc w:val="center"/>
              <w:textAlignment w:val="center"/>
              <w:rPr>
                <w:rFonts w:hint="eastAsia" w:ascii="仿宋_GB2312" w:hAnsi="仿宋_GB2312" w:eastAsia="仿宋_GB2312" w:cs="仿宋_GB2312"/>
                <w:b w:val="0"/>
                <w:bCs w:val="0"/>
                <w:kern w:val="2"/>
                <w:sz w:val="21"/>
                <w:szCs w:val="21"/>
                <w:vertAlign w:val="baseline"/>
                <w:lang w:val="en-US" w:eastAsia="zh-CN" w:bidi="ar-SA"/>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2.7</w:t>
            </w:r>
          </w:p>
        </w:tc>
        <w:tc>
          <w:tcPr>
            <w:tcW w:w="1867" w:type="dxa"/>
            <w:vMerge w:val="restart"/>
            <w:vAlign w:val="center"/>
          </w:tcPr>
          <w:p w14:paraId="4200F2F9">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社会效益较为显著。</w:t>
            </w:r>
          </w:p>
        </w:tc>
      </w:tr>
      <w:tr w14:paraId="23886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037" w:type="dxa"/>
            <w:vMerge w:val="continue"/>
            <w:vAlign w:val="center"/>
          </w:tcPr>
          <w:p w14:paraId="2B2D3E2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5B1B566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661854F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优化村庄布局</w:t>
            </w:r>
          </w:p>
        </w:tc>
        <w:tc>
          <w:tcPr>
            <w:tcW w:w="7535" w:type="dxa"/>
            <w:vMerge w:val="continue"/>
            <w:vAlign w:val="center"/>
          </w:tcPr>
          <w:p w14:paraId="15F40317">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c>
          <w:tcPr>
            <w:tcW w:w="705" w:type="dxa"/>
            <w:vAlign w:val="center"/>
          </w:tcPr>
          <w:p w14:paraId="11EBB09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7BCC0BAF">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2.7</w:t>
            </w:r>
          </w:p>
        </w:tc>
        <w:tc>
          <w:tcPr>
            <w:tcW w:w="1867" w:type="dxa"/>
            <w:vMerge w:val="continue"/>
            <w:vAlign w:val="center"/>
          </w:tcPr>
          <w:p w14:paraId="5A4D8E64">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5ECCC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37" w:type="dxa"/>
            <w:vMerge w:val="continue"/>
            <w:vAlign w:val="center"/>
          </w:tcPr>
          <w:p w14:paraId="39C9069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2FEE7EA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7E7B543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促进宜居宜业和美乡村建设作用情况</w:t>
            </w:r>
          </w:p>
        </w:tc>
        <w:tc>
          <w:tcPr>
            <w:tcW w:w="7535" w:type="dxa"/>
            <w:vMerge w:val="continue"/>
            <w:vAlign w:val="center"/>
          </w:tcPr>
          <w:p w14:paraId="5DD3E56C">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c>
          <w:tcPr>
            <w:tcW w:w="705" w:type="dxa"/>
            <w:vAlign w:val="center"/>
          </w:tcPr>
          <w:p w14:paraId="1A83845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4DE4B79A">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2.7</w:t>
            </w:r>
          </w:p>
        </w:tc>
        <w:tc>
          <w:tcPr>
            <w:tcW w:w="1867" w:type="dxa"/>
            <w:vMerge w:val="continue"/>
            <w:vAlign w:val="center"/>
          </w:tcPr>
          <w:p w14:paraId="3308E04F">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p>
        </w:tc>
      </w:tr>
      <w:tr w14:paraId="6FD1B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1037" w:type="dxa"/>
            <w:vMerge w:val="continue"/>
            <w:vAlign w:val="center"/>
          </w:tcPr>
          <w:p w14:paraId="62B5061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7FFE762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生态</w:t>
            </w:r>
          </w:p>
          <w:p w14:paraId="67952DE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效益</w:t>
            </w:r>
          </w:p>
          <w:p w14:paraId="3F140C4E">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（4分）</w:t>
            </w:r>
          </w:p>
        </w:tc>
        <w:tc>
          <w:tcPr>
            <w:tcW w:w="1890" w:type="dxa"/>
            <w:vAlign w:val="center"/>
          </w:tcPr>
          <w:p w14:paraId="43D8701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生态效益</w:t>
            </w:r>
          </w:p>
        </w:tc>
        <w:tc>
          <w:tcPr>
            <w:tcW w:w="7535" w:type="dxa"/>
            <w:vAlign w:val="center"/>
          </w:tcPr>
          <w:p w14:paraId="6CF1C73A">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因本项目无法量化，按评判等级赋分，分为全部实现目标、部分实现目标、实现目标程度较低三个档次，并分别按照该指标对应分值区间100%-80%（含）、80%-60%（含）、60%-0%合理确定分值。</w:t>
            </w:r>
          </w:p>
        </w:tc>
        <w:tc>
          <w:tcPr>
            <w:tcW w:w="705" w:type="dxa"/>
            <w:vAlign w:val="center"/>
          </w:tcPr>
          <w:p w14:paraId="181AB2E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w:t>
            </w:r>
          </w:p>
        </w:tc>
        <w:tc>
          <w:tcPr>
            <w:tcW w:w="705" w:type="dxa"/>
            <w:vAlign w:val="center"/>
          </w:tcPr>
          <w:p w14:paraId="739E3822">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3.6</w:t>
            </w:r>
          </w:p>
        </w:tc>
        <w:tc>
          <w:tcPr>
            <w:tcW w:w="1867" w:type="dxa"/>
            <w:vAlign w:val="center"/>
          </w:tcPr>
          <w:p w14:paraId="5A4A1D0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生态效益较好。</w:t>
            </w:r>
          </w:p>
        </w:tc>
      </w:tr>
      <w:tr w14:paraId="0807C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1037" w:type="dxa"/>
            <w:vMerge w:val="continue"/>
            <w:vAlign w:val="center"/>
          </w:tcPr>
          <w:p w14:paraId="08C74B0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5650AC6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可持续</w:t>
            </w:r>
          </w:p>
          <w:p w14:paraId="5778093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发展</w:t>
            </w:r>
          </w:p>
          <w:p w14:paraId="07582461">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（4分）</w:t>
            </w:r>
          </w:p>
        </w:tc>
        <w:tc>
          <w:tcPr>
            <w:tcW w:w="1890" w:type="dxa"/>
            <w:vAlign w:val="center"/>
          </w:tcPr>
          <w:p w14:paraId="3189309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可持续发展情况</w:t>
            </w:r>
          </w:p>
        </w:tc>
        <w:tc>
          <w:tcPr>
            <w:tcW w:w="7535" w:type="dxa"/>
            <w:vAlign w:val="center"/>
          </w:tcPr>
          <w:p w14:paraId="12CB898F">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因本指标无法量化，按评判等级赋分，分为全部实现目标、部分实现目标、实现目标程度较低三个档次，并分别按照该指标对应分值区间100%-80%（含）、80%-60%（含）、60%-0%合理确定分值。</w:t>
            </w:r>
          </w:p>
        </w:tc>
        <w:tc>
          <w:tcPr>
            <w:tcW w:w="705" w:type="dxa"/>
            <w:vAlign w:val="center"/>
          </w:tcPr>
          <w:p w14:paraId="5F52CE6B">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4</w:t>
            </w:r>
          </w:p>
        </w:tc>
        <w:tc>
          <w:tcPr>
            <w:tcW w:w="705" w:type="dxa"/>
            <w:vAlign w:val="center"/>
          </w:tcPr>
          <w:p w14:paraId="038EF988">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3.6</w:t>
            </w:r>
          </w:p>
        </w:tc>
        <w:tc>
          <w:tcPr>
            <w:tcW w:w="1867" w:type="dxa"/>
            <w:vAlign w:val="center"/>
          </w:tcPr>
          <w:p w14:paraId="59892ECF">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较好</w:t>
            </w:r>
          </w:p>
        </w:tc>
      </w:tr>
      <w:tr w14:paraId="7856D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037" w:type="dxa"/>
            <w:vMerge w:val="continue"/>
            <w:vAlign w:val="center"/>
          </w:tcPr>
          <w:p w14:paraId="783DA1C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Align w:val="center"/>
          </w:tcPr>
          <w:p w14:paraId="1ABCA94A">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受表</w:t>
            </w:r>
          </w:p>
          <w:p w14:paraId="479A764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彰</w:t>
            </w:r>
          </w:p>
          <w:p w14:paraId="07B4A9A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（3分）</w:t>
            </w:r>
          </w:p>
        </w:tc>
        <w:tc>
          <w:tcPr>
            <w:tcW w:w="1890" w:type="dxa"/>
            <w:vAlign w:val="center"/>
          </w:tcPr>
          <w:p w14:paraId="23AD324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是否受到国家、省、市各级表彰、奖励</w:t>
            </w:r>
          </w:p>
        </w:tc>
        <w:tc>
          <w:tcPr>
            <w:tcW w:w="7535" w:type="dxa"/>
            <w:vAlign w:val="center"/>
          </w:tcPr>
          <w:p w14:paraId="425C593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①项目相关工作受到国家级表彰奖励得3分；</w:t>
            </w:r>
          </w:p>
          <w:p w14:paraId="1A9CAFA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②项目相关工作受到省级表彰奖励得2分；</w:t>
            </w:r>
          </w:p>
          <w:p w14:paraId="572B5453">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③项目相关工作受到市级表彰奖励得1分；</w:t>
            </w:r>
          </w:p>
          <w:p w14:paraId="02C67A0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④未受到表彰奖励不得分。</w:t>
            </w:r>
          </w:p>
        </w:tc>
        <w:tc>
          <w:tcPr>
            <w:tcW w:w="705" w:type="dxa"/>
            <w:vAlign w:val="center"/>
          </w:tcPr>
          <w:p w14:paraId="3814C339">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kern w:val="2"/>
                <w:sz w:val="21"/>
                <w:szCs w:val="21"/>
                <w:vertAlign w:val="baseline"/>
                <w:lang w:val="en-US" w:eastAsia="zh-CN" w:bidi="ar-SA"/>
              </w:rPr>
            </w:pPr>
            <w:r>
              <w:rPr>
                <w:rFonts w:hint="eastAsia" w:ascii="仿宋_GB2312" w:hAnsi="仿宋_GB2312" w:eastAsia="仿宋_GB2312" w:cs="仿宋_GB2312"/>
                <w:b w:val="0"/>
                <w:bCs w:val="0"/>
                <w:sz w:val="21"/>
                <w:szCs w:val="21"/>
                <w:vertAlign w:val="baseline"/>
                <w:lang w:val="en-US" w:eastAsia="zh-CN"/>
              </w:rPr>
              <w:t>3</w:t>
            </w:r>
          </w:p>
        </w:tc>
        <w:tc>
          <w:tcPr>
            <w:tcW w:w="705" w:type="dxa"/>
            <w:vAlign w:val="center"/>
          </w:tcPr>
          <w:p w14:paraId="0770D7A8">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0</w:t>
            </w:r>
          </w:p>
        </w:tc>
        <w:tc>
          <w:tcPr>
            <w:tcW w:w="1867" w:type="dxa"/>
            <w:vAlign w:val="center"/>
          </w:tcPr>
          <w:p w14:paraId="22C93ECA">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项目单位相关工作2024年未受到市级以上表彰奖励。</w:t>
            </w:r>
          </w:p>
        </w:tc>
      </w:tr>
      <w:tr w14:paraId="7A842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037" w:type="dxa"/>
            <w:vMerge w:val="continue"/>
            <w:vAlign w:val="center"/>
          </w:tcPr>
          <w:p w14:paraId="373DC18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restart"/>
            <w:vAlign w:val="center"/>
          </w:tcPr>
          <w:p w14:paraId="04D98FF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服务</w:t>
            </w:r>
          </w:p>
          <w:p w14:paraId="66D36D5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对象</w:t>
            </w:r>
          </w:p>
          <w:p w14:paraId="184906A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满意度</w:t>
            </w:r>
          </w:p>
          <w:p w14:paraId="5F8F5D6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（10分）</w:t>
            </w:r>
          </w:p>
        </w:tc>
        <w:tc>
          <w:tcPr>
            <w:tcW w:w="1890" w:type="dxa"/>
            <w:vAlign w:val="center"/>
          </w:tcPr>
          <w:p w14:paraId="0CBC67C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服务对象认可程度</w:t>
            </w:r>
          </w:p>
        </w:tc>
        <w:tc>
          <w:tcPr>
            <w:tcW w:w="7535" w:type="dxa"/>
            <w:vMerge w:val="restart"/>
            <w:vAlign w:val="center"/>
          </w:tcPr>
          <w:p w14:paraId="24334F5F">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按照区间进行赋分,满意度大于等于90%的得10分，满意度小于90%且大于等于80%的得8分，满意度小于80%且大于等于60%的得5分，满意度小于60%不得分。</w:t>
            </w:r>
          </w:p>
        </w:tc>
        <w:tc>
          <w:tcPr>
            <w:tcW w:w="705" w:type="dxa"/>
            <w:vMerge w:val="restart"/>
            <w:vAlign w:val="center"/>
          </w:tcPr>
          <w:p w14:paraId="1B89BB02">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sz w:val="21"/>
                <w:szCs w:val="21"/>
                <w:vertAlign w:val="baseline"/>
                <w:lang w:val="en-US" w:eastAsia="zh-CN"/>
              </w:rPr>
              <w:t>10</w:t>
            </w:r>
          </w:p>
        </w:tc>
        <w:tc>
          <w:tcPr>
            <w:tcW w:w="705" w:type="dxa"/>
            <w:vMerge w:val="restart"/>
            <w:vAlign w:val="center"/>
          </w:tcPr>
          <w:p w14:paraId="468B5627">
            <w:pPr>
              <w:keepNext w:val="0"/>
              <w:keepLines w:val="0"/>
              <w:widowControl/>
              <w:suppressLineNumbers w:val="0"/>
              <w:jc w:val="center"/>
              <w:textAlignment w:val="center"/>
              <w:rPr>
                <w:rFonts w:hint="eastAsia" w:ascii="仿宋_GB2312" w:hAnsi="仿宋_GB2312" w:eastAsia="仿宋_GB2312" w:cs="仿宋_GB2312"/>
                <w:b w:val="0"/>
                <w:bCs w:val="0"/>
                <w:sz w:val="21"/>
                <w:szCs w:val="21"/>
                <w:vertAlign w:val="baseline"/>
                <w:lang w:val="en-US" w:eastAsia="zh-CN"/>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9.1</w:t>
            </w:r>
          </w:p>
        </w:tc>
        <w:tc>
          <w:tcPr>
            <w:tcW w:w="1867" w:type="dxa"/>
            <w:vMerge w:val="restart"/>
            <w:vAlign w:val="center"/>
          </w:tcPr>
          <w:p w14:paraId="68386C86">
            <w:pPr>
              <w:keepNext w:val="0"/>
              <w:keepLines w:val="0"/>
              <w:widowControl/>
              <w:suppressLineNumbers w:val="0"/>
              <w:shd w:val="clear"/>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调查问卷结果显示，群众整体满意度约为90.82%。</w:t>
            </w:r>
          </w:p>
        </w:tc>
      </w:tr>
      <w:tr w14:paraId="12F4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37" w:type="dxa"/>
            <w:vMerge w:val="continue"/>
            <w:vAlign w:val="center"/>
          </w:tcPr>
          <w:p w14:paraId="3429F7D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114" w:type="dxa"/>
            <w:vMerge w:val="continue"/>
            <w:vAlign w:val="center"/>
          </w:tcPr>
          <w:p w14:paraId="2AE278E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lang w:val="en-US" w:eastAsia="zh-CN"/>
              </w:rPr>
            </w:pPr>
          </w:p>
        </w:tc>
        <w:tc>
          <w:tcPr>
            <w:tcW w:w="1890" w:type="dxa"/>
            <w:vAlign w:val="center"/>
          </w:tcPr>
          <w:p w14:paraId="7D248C03">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r>
              <w:rPr>
                <w:rFonts w:hint="eastAsia" w:ascii="仿宋_GB2312" w:hAnsi="仿宋_GB2312" w:eastAsia="仿宋_GB2312" w:cs="仿宋_GB2312"/>
                <w:b w:val="0"/>
                <w:bCs w:val="0"/>
                <w:sz w:val="21"/>
                <w:szCs w:val="21"/>
                <w:vertAlign w:val="baseline"/>
              </w:rPr>
              <w:t>项目受益人认可程度</w:t>
            </w:r>
          </w:p>
        </w:tc>
        <w:tc>
          <w:tcPr>
            <w:tcW w:w="7535" w:type="dxa"/>
            <w:vMerge w:val="continue"/>
            <w:vAlign w:val="center"/>
          </w:tcPr>
          <w:p w14:paraId="09F7B1F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p>
        </w:tc>
        <w:tc>
          <w:tcPr>
            <w:tcW w:w="705" w:type="dxa"/>
            <w:vMerge w:val="continue"/>
            <w:vAlign w:val="center"/>
          </w:tcPr>
          <w:p w14:paraId="4A8B553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p>
        </w:tc>
        <w:tc>
          <w:tcPr>
            <w:tcW w:w="705" w:type="dxa"/>
            <w:vMerge w:val="continue"/>
            <w:vAlign w:val="center"/>
          </w:tcPr>
          <w:p w14:paraId="749EBE10">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p>
        </w:tc>
        <w:tc>
          <w:tcPr>
            <w:tcW w:w="1867" w:type="dxa"/>
            <w:vMerge w:val="continue"/>
            <w:vAlign w:val="center"/>
          </w:tcPr>
          <w:p w14:paraId="47218E24">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val="0"/>
                <w:bCs w:val="0"/>
                <w:sz w:val="21"/>
                <w:szCs w:val="21"/>
                <w:vertAlign w:val="baseline"/>
              </w:rPr>
            </w:pPr>
          </w:p>
        </w:tc>
      </w:tr>
      <w:tr w14:paraId="2870F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37" w:type="dxa"/>
            <w:vAlign w:val="center"/>
          </w:tcPr>
          <w:p w14:paraId="2BA4E1C7">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总分</w:t>
            </w:r>
          </w:p>
        </w:tc>
        <w:tc>
          <w:tcPr>
            <w:tcW w:w="1114" w:type="dxa"/>
            <w:vAlign w:val="center"/>
          </w:tcPr>
          <w:p w14:paraId="48C1046D">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100</w:t>
            </w:r>
          </w:p>
        </w:tc>
        <w:tc>
          <w:tcPr>
            <w:tcW w:w="1890" w:type="dxa"/>
            <w:vAlign w:val="center"/>
          </w:tcPr>
          <w:p w14:paraId="5B12FE45">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p>
        </w:tc>
        <w:tc>
          <w:tcPr>
            <w:tcW w:w="7535" w:type="dxa"/>
            <w:vAlign w:val="center"/>
          </w:tcPr>
          <w:p w14:paraId="411B8138">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p>
        </w:tc>
        <w:tc>
          <w:tcPr>
            <w:tcW w:w="705" w:type="dxa"/>
            <w:vAlign w:val="center"/>
          </w:tcPr>
          <w:p w14:paraId="0D9F826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100</w:t>
            </w:r>
          </w:p>
        </w:tc>
        <w:tc>
          <w:tcPr>
            <w:tcW w:w="705" w:type="dxa"/>
            <w:vAlign w:val="center"/>
          </w:tcPr>
          <w:p w14:paraId="2BD1A666">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87.9</w:t>
            </w:r>
          </w:p>
        </w:tc>
        <w:tc>
          <w:tcPr>
            <w:tcW w:w="1867" w:type="dxa"/>
            <w:vAlign w:val="center"/>
          </w:tcPr>
          <w:p w14:paraId="61EAAA4C">
            <w:pPr>
              <w:keepNext w:val="0"/>
              <w:keepLines w:val="0"/>
              <w:pageBreakBefore w:val="0"/>
              <w:kinsoku/>
              <w:wordWrap/>
              <w:overflowPunct/>
              <w:topLinePunct w:val="0"/>
              <w:autoSpaceDE/>
              <w:autoSpaceDN/>
              <w:bidi w:val="0"/>
              <w:adjustRightInd/>
              <w:snapToGrid/>
              <w:spacing w:line="300" w:lineRule="exact"/>
              <w:ind w:left="-108" w:leftChars="-50" w:right="-108" w:rightChars="-50"/>
              <w:jc w:val="center"/>
              <w:rPr>
                <w:rFonts w:hint="eastAsia" w:ascii="仿宋_GB2312" w:hAnsi="仿宋_GB2312" w:eastAsia="仿宋_GB2312" w:cs="仿宋_GB2312"/>
                <w:b/>
                <w:bCs/>
                <w:sz w:val="21"/>
                <w:szCs w:val="21"/>
                <w:vertAlign w:val="baseline"/>
              </w:rPr>
            </w:pPr>
          </w:p>
        </w:tc>
      </w:tr>
    </w:tbl>
    <w:p w14:paraId="74E6BD68">
      <w:pPr>
        <w:pStyle w:val="11"/>
        <w:rPr>
          <w:rFonts w:hint="default" w:eastAsia="楷体_GB2312"/>
          <w:lang w:val="en-US" w:eastAsia="zh-CN"/>
        </w:rPr>
      </w:pPr>
    </w:p>
    <w:p w14:paraId="14AD6E5F">
      <w:pPr>
        <w:pStyle w:val="11"/>
        <w:rPr>
          <w:rFonts w:hint="default" w:eastAsia="楷体_GB2312"/>
          <w:lang w:val="en-US" w:eastAsia="zh-CN"/>
        </w:rPr>
      </w:pPr>
    </w:p>
    <w:bookmarkEnd w:id="0"/>
    <w:p w14:paraId="7978AB5F"/>
    <w:sectPr>
      <w:footerReference r:id="rId12" w:type="first"/>
      <w:footerReference r:id="rId11" w:type="default"/>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0" w:num="1"/>
      <w:titlePg/>
      <w:rtlGutter w:val="0"/>
      <w:docGrid w:type="linesAndChars" w:linePitch="332"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opperplate Gothic Bold">
    <w:panose1 w:val="020E0705020206020404"/>
    <w:charset w:val="00"/>
    <w:family w:val="swiss"/>
    <w:pitch w:val="default"/>
    <w:sig w:usb0="00000003" w:usb1="00000000" w:usb2="00000000" w:usb3="00000000" w:csb0="20000001" w:csb1="00000000"/>
  </w:font>
  <w:font w:name="仿宋_GB2312">
    <w:altName w:val="仿宋"/>
    <w:panose1 w:val="02010609030101010101"/>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KSOF4B1AA1F4">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22EEC">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CAD84E">
                          <w:pPr>
                            <w:pStyle w:val="1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5CAD84E">
                    <w:pPr>
                      <w:pStyle w:val="1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34C31">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79BBD">
                          <w:pPr>
                            <w:pStyle w:val="1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C779BBD">
                    <w:pPr>
                      <w:pStyle w:val="1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010B8">
    <w:pPr>
      <w:pStyle w:val="13"/>
      <w:pBdr>
        <w:top w:val="none" w:color="auto" w:sz="0" w:space="0"/>
        <w:left w:val="none" w:color="auto" w:sz="0" w:space="0"/>
        <w:bottom w:val="none" w:color="auto" w:sz="0" w:space="0"/>
        <w:right w:val="none" w:color="auto" w:sz="0" w:space="0"/>
        <w:between w:val="none" w:color="auto" w:sz="0" w:space="0"/>
      </w:pBdr>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1482C">
                          <w:pPr>
                            <w:pStyle w:val="1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511482C">
                    <w:pPr>
                      <w:pStyle w:val="1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8392A">
    <w:pPr>
      <w:pStyle w:val="13"/>
      <w:pBdr>
        <w:top w:val="none" w:color="auto" w:sz="0" w:space="0"/>
        <w:left w:val="none" w:color="auto" w:sz="0" w:space="0"/>
        <w:bottom w:val="none" w:color="auto" w:sz="0" w:space="0"/>
        <w:right w:val="none" w:color="auto" w:sz="0" w:space="0"/>
        <w:between w:val="none" w:color="auto" w:sz="0" w:space="0"/>
      </w:pBdr>
      <w:tabs>
        <w:tab w:val="right" w:pos="8646"/>
        <w:tab w:val="clear" w:pos="8306"/>
      </w:tabs>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B7A5CC">
                          <w:pPr>
                            <w:pStyle w:val="1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0B7A5CC">
                    <w:pPr>
                      <w:pStyle w:val="1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r>
      <w:rPr>
        <w:rFonts w:hint="eastAsia" w:ascii="仿宋" w:hAnsi="仿宋" w:eastAsia="仿宋" w:cs="仿宋"/>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98729">
    <w:pPr>
      <w:pStyle w:val="13"/>
      <w:pBdr>
        <w:top w:val="none" w:color="auto" w:sz="0" w:space="0"/>
        <w:left w:val="none" w:color="auto" w:sz="0" w:space="0"/>
        <w:bottom w:val="none" w:color="auto" w:sz="0" w:space="0"/>
        <w:right w:val="none" w:color="auto" w:sz="0" w:space="0"/>
        <w:between w:val="none" w:color="auto" w:sz="0" w:space="0"/>
      </w:pBd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F10B0">
    <w:pPr>
      <w:pStyle w:val="13"/>
      <w:pBdr>
        <w:top w:val="none" w:color="auto" w:sz="0" w:space="0"/>
        <w:left w:val="none" w:color="auto" w:sz="0" w:space="0"/>
        <w:bottom w:val="none" w:color="auto" w:sz="0" w:space="0"/>
        <w:right w:val="none" w:color="auto" w:sz="0" w:space="0"/>
        <w:between w:val="none" w:color="auto" w:sz="0" w:space="0"/>
      </w:pBdr>
      <w:tabs>
        <w:tab w:val="right" w:pos="8646"/>
        <w:tab w:val="clear" w:pos="8306"/>
      </w:tabs>
    </w:pPr>
    <w:r>
      <w:rPr>
        <w:rFonts w:hint="eastAsia" w:ascii="仿宋" w:hAnsi="仿宋" w:eastAsia="仿宋" w:cs="仿宋"/>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FFF25">
    <w:pPr>
      <w:pStyle w:val="14"/>
      <w:pBdr>
        <w:bottom w:val="single" w:color="auto" w:sz="4" w:space="1"/>
      </w:pBdr>
      <w:jc w:val="both"/>
      <w:rPr>
        <w:rFonts w:hint="eastAsia" w:ascii="仿宋" w:hAnsi="仿宋" w:eastAsia="仿宋" w:cs="仿宋"/>
        <w:sz w:val="22"/>
        <w:szCs w:val="22"/>
      </w:rPr>
    </w:pPr>
    <w:r>
      <w:rPr>
        <w:rFonts w:hint="eastAsia" w:ascii="仿宋" w:hAnsi="仿宋" w:eastAsia="仿宋" w:cs="仿宋"/>
        <w:sz w:val="22"/>
        <w:szCs w:val="22"/>
        <w:lang w:eastAsia="zh-CN"/>
      </w:rPr>
      <w:t xml:space="preserve">  2024年扶风县“多规合一”实用性村庄规划编制项目</w:t>
    </w:r>
    <w:r>
      <w:rPr>
        <w:rFonts w:hint="eastAsia" w:ascii="仿宋" w:hAnsi="仿宋" w:eastAsia="仿宋" w:cs="仿宋"/>
        <w:sz w:val="22"/>
        <w:szCs w:val="22"/>
      </w:rPr>
      <w:t>绩效评价报告</w:t>
    </w:r>
  </w:p>
  <w:p w14:paraId="5F951787">
    <w:pPr>
      <w:pStyle w:val="14"/>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164B9">
    <w:pPr>
      <w:pStyle w:val="14"/>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132C0">
    <w:pPr>
      <w:pStyle w:val="14"/>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0"/>
        <w:szCs w:val="20"/>
      </w:rPr>
    </w:pPr>
    <w:r>
      <w:rPr>
        <w:rFonts w:hint="eastAsia" w:ascii="仿宋" w:hAnsi="仿宋" w:eastAsia="仿宋" w:cs="仿宋"/>
        <w:sz w:val="20"/>
        <w:szCs w:val="20"/>
        <w:lang w:val="en-US" w:eastAsia="zh-CN"/>
      </w:rPr>
      <w:t xml:space="preserve">  </w:t>
    </w:r>
  </w:p>
  <w:p w14:paraId="32757A82">
    <w:pPr>
      <w:pStyle w:val="14"/>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7BBBE">
    <w:pPr>
      <w:pStyle w:val="14"/>
      <w:pBdr>
        <w:top w:val="none" w:color="auto" w:sz="0" w:space="0"/>
        <w:left w:val="none" w:color="auto" w:sz="0" w:space="0"/>
        <w:bottom w:val="none" w:color="auto" w:sz="0" w:space="1"/>
        <w:right w:val="none" w:color="auto" w:sz="0" w:space="0"/>
        <w:between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8"/>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RkZDY2NGU0MGNmYzJjMTYzMmE4M2NkM2VjMmUifQ=="/>
  </w:docVars>
  <w:rsids>
    <w:rsidRoot w:val="38E37B57"/>
    <w:rsid w:val="01792A23"/>
    <w:rsid w:val="049B394B"/>
    <w:rsid w:val="049F64B9"/>
    <w:rsid w:val="04E35A1E"/>
    <w:rsid w:val="098179DE"/>
    <w:rsid w:val="09D77A57"/>
    <w:rsid w:val="0CC17848"/>
    <w:rsid w:val="0D4E1EA3"/>
    <w:rsid w:val="0E1D6EA1"/>
    <w:rsid w:val="0E6422DD"/>
    <w:rsid w:val="0F3B2BBA"/>
    <w:rsid w:val="10163A89"/>
    <w:rsid w:val="10613C9B"/>
    <w:rsid w:val="10DE79AF"/>
    <w:rsid w:val="11C92399"/>
    <w:rsid w:val="121B411F"/>
    <w:rsid w:val="127E319F"/>
    <w:rsid w:val="128B2A1F"/>
    <w:rsid w:val="13B92C15"/>
    <w:rsid w:val="15B75DDD"/>
    <w:rsid w:val="1604014D"/>
    <w:rsid w:val="16A36DBB"/>
    <w:rsid w:val="181205AB"/>
    <w:rsid w:val="185D11EC"/>
    <w:rsid w:val="18CB46F9"/>
    <w:rsid w:val="197764F6"/>
    <w:rsid w:val="1A5B6B54"/>
    <w:rsid w:val="1AF06347"/>
    <w:rsid w:val="1BB83309"/>
    <w:rsid w:val="1BDA4026"/>
    <w:rsid w:val="1C2C3E62"/>
    <w:rsid w:val="1D330752"/>
    <w:rsid w:val="1ECC0A34"/>
    <w:rsid w:val="1FF654D2"/>
    <w:rsid w:val="209007BC"/>
    <w:rsid w:val="20B53735"/>
    <w:rsid w:val="22052E2F"/>
    <w:rsid w:val="23BD10B6"/>
    <w:rsid w:val="25271FBB"/>
    <w:rsid w:val="258E077A"/>
    <w:rsid w:val="278E3170"/>
    <w:rsid w:val="27DE1CCE"/>
    <w:rsid w:val="27E45FB0"/>
    <w:rsid w:val="28DE1270"/>
    <w:rsid w:val="2A3A5429"/>
    <w:rsid w:val="2AA17236"/>
    <w:rsid w:val="2BF86391"/>
    <w:rsid w:val="2C71251A"/>
    <w:rsid w:val="2CB641AC"/>
    <w:rsid w:val="2DE0582D"/>
    <w:rsid w:val="30717AD3"/>
    <w:rsid w:val="342C7F98"/>
    <w:rsid w:val="346E1C6B"/>
    <w:rsid w:val="35E933D6"/>
    <w:rsid w:val="3846585A"/>
    <w:rsid w:val="3853296E"/>
    <w:rsid w:val="3881462B"/>
    <w:rsid w:val="38E37B57"/>
    <w:rsid w:val="3B5B7196"/>
    <w:rsid w:val="3C2F5621"/>
    <w:rsid w:val="40DC5684"/>
    <w:rsid w:val="41131534"/>
    <w:rsid w:val="41166C56"/>
    <w:rsid w:val="423440F5"/>
    <w:rsid w:val="45431E62"/>
    <w:rsid w:val="46A2612B"/>
    <w:rsid w:val="47A92AD9"/>
    <w:rsid w:val="48EB1D78"/>
    <w:rsid w:val="48F81E6A"/>
    <w:rsid w:val="4B2E25F0"/>
    <w:rsid w:val="4D06670B"/>
    <w:rsid w:val="4D6169CA"/>
    <w:rsid w:val="4D6A299A"/>
    <w:rsid w:val="4EF21B33"/>
    <w:rsid w:val="4F041DE6"/>
    <w:rsid w:val="4FEB7203"/>
    <w:rsid w:val="50E41142"/>
    <w:rsid w:val="51CA5924"/>
    <w:rsid w:val="52B24B7C"/>
    <w:rsid w:val="563913D0"/>
    <w:rsid w:val="57294EB0"/>
    <w:rsid w:val="577E7581"/>
    <w:rsid w:val="57CF60C1"/>
    <w:rsid w:val="580408D1"/>
    <w:rsid w:val="58CB74D0"/>
    <w:rsid w:val="59D535CE"/>
    <w:rsid w:val="5AF61E18"/>
    <w:rsid w:val="5B097FC8"/>
    <w:rsid w:val="5B8140BF"/>
    <w:rsid w:val="5BCA7144"/>
    <w:rsid w:val="5C0B35A8"/>
    <w:rsid w:val="5D7A4E55"/>
    <w:rsid w:val="5D92680F"/>
    <w:rsid w:val="5DB12741"/>
    <w:rsid w:val="5F2B6976"/>
    <w:rsid w:val="5F7408C2"/>
    <w:rsid w:val="61225B1E"/>
    <w:rsid w:val="619B7CD4"/>
    <w:rsid w:val="62294DF3"/>
    <w:rsid w:val="632366B5"/>
    <w:rsid w:val="64B35EE6"/>
    <w:rsid w:val="652D29E5"/>
    <w:rsid w:val="677961F6"/>
    <w:rsid w:val="686D6CFB"/>
    <w:rsid w:val="6A9D4D02"/>
    <w:rsid w:val="6E2C269A"/>
    <w:rsid w:val="708F6BDE"/>
    <w:rsid w:val="726B5B54"/>
    <w:rsid w:val="72DD00D4"/>
    <w:rsid w:val="738E0EA2"/>
    <w:rsid w:val="745C669A"/>
    <w:rsid w:val="74B86703"/>
    <w:rsid w:val="772B7660"/>
    <w:rsid w:val="772E36E0"/>
    <w:rsid w:val="78054B14"/>
    <w:rsid w:val="78D77109"/>
    <w:rsid w:val="7A37509B"/>
    <w:rsid w:val="7A942FB8"/>
    <w:rsid w:val="7AD372AF"/>
    <w:rsid w:val="7BFF10BB"/>
    <w:rsid w:val="7C25052B"/>
    <w:rsid w:val="7D6A3EE0"/>
    <w:rsid w:val="7E4B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8">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3"/>
    <w:basedOn w:val="1"/>
    <w:next w:val="3"/>
    <w:unhideWhenUsed/>
    <w:qFormat/>
    <w:uiPriority w:val="99"/>
    <w:pPr>
      <w:widowControl w:val="0"/>
      <w:spacing w:after="120"/>
      <w:jc w:val="both"/>
    </w:pPr>
    <w:rPr>
      <w:rFonts w:ascii="Times New Roman" w:hAnsi="Times New Roman" w:eastAsia="宋体" w:cs="Times New Roman"/>
      <w:kern w:val="2"/>
      <w:sz w:val="16"/>
      <w:szCs w:val="16"/>
      <w:lang w:val="en-US" w:eastAsia="zh-CN" w:bidi="ar-SA"/>
    </w:rPr>
  </w:style>
  <w:style w:type="paragraph" w:customStyle="1" w:styleId="3">
    <w:name w:val="Char1"/>
    <w:qFormat/>
    <w:uiPriority w:val="0"/>
    <w:pPr>
      <w:widowControl w:val="0"/>
      <w:ind w:left="840" w:hanging="420"/>
      <w:jc w:val="both"/>
    </w:pPr>
    <w:rPr>
      <w:rFonts w:ascii="Times New Roman" w:hAnsi="Times New Roman" w:eastAsia="宋体" w:cs="Times New Roman"/>
      <w:kern w:val="2"/>
      <w:sz w:val="24"/>
      <w:szCs w:val="30"/>
      <w:lang w:val="en-US" w:eastAsia="zh-CN" w:bidi="ar-SA"/>
    </w:rPr>
  </w:style>
  <w:style w:type="paragraph" w:styleId="9">
    <w:name w:val="annotation text"/>
    <w:basedOn w:val="1"/>
    <w:qFormat/>
    <w:uiPriority w:val="0"/>
    <w:pPr>
      <w:jc w:val="left"/>
    </w:pPr>
  </w:style>
  <w:style w:type="paragraph" w:styleId="10">
    <w:name w:val="Body Text"/>
    <w:basedOn w:val="1"/>
    <w:next w:val="11"/>
    <w:qFormat/>
    <w:uiPriority w:val="0"/>
    <w:pPr>
      <w:keepNext w:val="0"/>
      <w:keepLines w:val="0"/>
      <w:widowControl w:val="0"/>
      <w:suppressLineNumbers w:val="0"/>
      <w:spacing w:before="0" w:beforeAutospacing="0" w:after="120" w:afterAutospacing="0"/>
      <w:ind w:left="0" w:right="0"/>
      <w:jc w:val="both"/>
    </w:pPr>
    <w:rPr>
      <w:rFonts w:ascii="Calibri" w:hAnsi="Calibri"/>
      <w:kern w:val="2"/>
      <w:sz w:val="21"/>
      <w:szCs w:val="24"/>
    </w:rPr>
  </w:style>
  <w:style w:type="paragraph" w:styleId="11">
    <w:name w:val="Body Text 2"/>
    <w:basedOn w:val="1"/>
    <w:qFormat/>
    <w:uiPriority w:val="99"/>
    <w:rPr>
      <w:rFonts w:ascii="楷体_GB2312" w:hAnsi="Copperplate Gothic Bold" w:eastAsia="楷体_GB2312"/>
      <w:sz w:val="28"/>
    </w:rPr>
  </w:style>
  <w:style w:type="paragraph" w:styleId="12">
    <w:name w:val="Body Text Indent"/>
    <w:basedOn w:val="1"/>
    <w:qFormat/>
    <w:uiPriority w:val="0"/>
    <w:pPr>
      <w:ind w:firstLine="200" w:firstLineChars="200"/>
    </w:pPr>
    <w:rPr>
      <w:sz w:val="28"/>
      <w:szCs w:val="24"/>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widowControl/>
      <w:spacing w:before="100" w:beforeAutospacing="1" w:after="100" w:afterAutospacing="1"/>
      <w:jc w:val="left"/>
    </w:pPr>
    <w:rPr>
      <w:rFonts w:ascii="宋体" w:eastAsia="宋体" w:cs="宋体"/>
      <w:kern w:val="0"/>
      <w:sz w:val="24"/>
      <w:szCs w:val="24"/>
      <w:lang w:val="en-US" w:eastAsia="zh-CN" w:bidi="ar-SA"/>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paragraph" w:customStyle="1" w:styleId="22">
    <w:name w:val="BodyText"/>
    <w:qFormat/>
    <w:uiPriority w:val="0"/>
    <w:pPr>
      <w:widowControl w:val="0"/>
      <w:spacing w:after="120"/>
      <w:jc w:val="both"/>
      <w:textAlignment w:val="baseline"/>
    </w:pPr>
    <w:rPr>
      <w:rFonts w:ascii="Times New Roman" w:hAnsi="Times New Roman" w:eastAsia="宋体" w:cs="Times New Roman"/>
      <w:kern w:val="2"/>
      <w:sz w:val="21"/>
      <w:lang w:val="en-US" w:eastAsia="zh-CN" w:bidi="ar-SA"/>
    </w:rPr>
  </w:style>
  <w:style w:type="character" w:customStyle="1" w:styleId="23">
    <w:name w:val="font21"/>
    <w:basedOn w:val="19"/>
    <w:qFormat/>
    <w:uiPriority w:val="0"/>
    <w:rPr>
      <w:rFonts w:hint="default" w:ascii="Times New Roman" w:hAnsi="Times New Roman" w:cs="Times New Roman"/>
      <w:color w:val="000000"/>
      <w:sz w:val="24"/>
      <w:szCs w:val="24"/>
      <w:u w:val="none"/>
    </w:rPr>
  </w:style>
  <w:style w:type="character" w:customStyle="1" w:styleId="24">
    <w:name w:val="font31"/>
    <w:basedOn w:val="19"/>
    <w:qFormat/>
    <w:uiPriority w:val="0"/>
    <w:rPr>
      <w:rFonts w:hint="eastAsia" w:ascii="仿宋_GB2312" w:eastAsia="仿宋_GB2312" w:cs="仿宋_GB2312"/>
      <w:color w:val="000000"/>
      <w:sz w:val="24"/>
      <w:szCs w:val="24"/>
      <w:u w:val="none"/>
    </w:rPr>
  </w:style>
  <w:style w:type="character" w:customStyle="1" w:styleId="25">
    <w:name w:val="font01"/>
    <w:basedOn w:val="19"/>
    <w:qFormat/>
    <w:uiPriority w:val="0"/>
    <w:rPr>
      <w:rFonts w:hint="eastAsia" w:ascii="宋体" w:hAnsi="宋体" w:eastAsia="宋体" w:cs="宋体"/>
      <w:color w:val="000000"/>
      <w:sz w:val="24"/>
      <w:szCs w:val="24"/>
      <w:u w:val="none"/>
    </w:rPr>
  </w:style>
  <w:style w:type="character" w:customStyle="1" w:styleId="26">
    <w:name w:val="font61"/>
    <w:basedOn w:val="19"/>
    <w:qFormat/>
    <w:uiPriority w:val="0"/>
    <w:rPr>
      <w:rFonts w:hint="default" w:ascii="Times New Roman" w:hAnsi="Times New Roman" w:cs="Times New Roman"/>
      <w:color w:val="000000"/>
      <w:sz w:val="24"/>
      <w:szCs w:val="24"/>
      <w:u w:val="none"/>
    </w:rPr>
  </w:style>
  <w:style w:type="character" w:customStyle="1" w:styleId="27">
    <w:name w:val="font41"/>
    <w:basedOn w:val="19"/>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6905</Words>
  <Characters>8434</Characters>
  <Lines>0</Lines>
  <Paragraphs>0</Paragraphs>
  <TotalTime>10</TotalTime>
  <ScaleCrop>false</ScaleCrop>
  <LinksUpToDate>false</LinksUpToDate>
  <CharactersWithSpaces>8571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2025-06-13T08:16:00Z</dcterms:created>
  <dc:creator>海纳百川</dc:creator>
  <cp:lastModifiedBy>＆一笑而过::&gt;_&lt;:</cp:lastModifiedBy>
  <dcterms:modified xsi:type="dcterms:W3CDTF">2025-12-19T06:19:44Z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93435285720B434BB6B0CA20F469C9A8_13</vt:lpwstr>
  </property>
  <property fmtid="{D5CDD505-2E9C-101B-9397-08002B2CF9AE}" pid="4" name="KSOTemplateDocerSaveRecord">
    <vt:lpwstr>eyJoZGlkIjoiNGYyZWE5OWUzMGI3ZWUyNjZhYTk0YzRkZDlmMmJlOGQiLCJ1c2VySWQiOiIxMTY2NzU5ODkyIn0=</vt:lpwstr>
  </property>
</Properties>
</file>